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Integrated &amp; Transboundary Conservation IWT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5612</w:t>
            </w:r>
          </w:p>
        </w:tc>
      </w:tr>
      <w:tr>
        <w:trPr/>
        <w:tc>
          <w:tcPr>
            <w:tcW w:w="5000" w:type="dxa"/>
            <w:gridSpan w:val="1"/>
          </w:tcPr>
          <w:p>
            <w:pPr/>
            <w:r>
              <w:rPr/>
              <w:t xml:space="preserve">GEF ID</w:t>
            </w:r>
          </w:p>
        </w:tc>
        <w:tc>
          <w:tcPr>
            <w:tcW w:w="5000" w:type="dxa"/>
            <w:gridSpan w:val="1"/>
          </w:tcPr>
          <w:p>
            <w:pPr/>
            <w:r>
              <w:rPr/>
              <w:t xml:space="preserve">9159</w:t>
            </w:r>
          </w:p>
        </w:tc>
      </w:tr>
      <w:tr>
        <w:trPr/>
        <w:tc>
          <w:tcPr>
            <w:tcW w:w="5000" w:type="dxa"/>
            <w:gridSpan w:val="1"/>
          </w:tcPr>
          <w:p>
            <w:pPr/>
            <w:r>
              <w:rPr/>
              <w:t xml:space="preserve">Title</w:t>
            </w:r>
          </w:p>
        </w:tc>
        <w:tc>
          <w:tcPr>
            <w:tcW w:w="5000" w:type="dxa"/>
            <w:gridSpan w:val="1"/>
          </w:tcPr>
          <w:p>
            <w:pPr/>
            <w:r>
              <w:rPr/>
              <w:t xml:space="preserve">Integrated and Transboundary Conservation of Biodiversity in the Basins of the Republic of Congo</w:t>
            </w:r>
          </w:p>
        </w:tc>
      </w:tr>
      <w:tr>
        <w:trPr/>
        <w:tc>
          <w:tcPr>
            <w:tcW w:w="5000" w:type="dxa"/>
            <w:gridSpan w:val="1"/>
          </w:tcPr>
          <w:p>
            <w:pPr/>
            <w:r>
              <w:rPr/>
              <w:t xml:space="preserve">Country(ies)</w:t>
            </w:r>
          </w:p>
        </w:tc>
        <w:tc>
          <w:tcPr>
            <w:tcW w:w="5000" w:type="dxa"/>
            <w:gridSpan w:val="1"/>
          </w:tcPr>
          <w:p>
            <w:pPr/>
            <w:r>
              <w:rPr/>
              <w:t xml:space="preserve">Congo, Congo</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Congo is home to one of the richest, most biologically important and intact-forest ecosystems on the planet. These areas are home to a diverse range of rare and endangered mammals, insects and plants Â forest elephants, chimpanzees, western lowland gorillas, leopards, bongo antelope and others. The Congolese area within the MinkÃ©bÃ©-Odzala-Dja Inter-zone in Gabon, Congo, and Cameroon, also known as the TRIDOM zone, is a key IWT hub. This area and its biodiversity are threatened by IWT, especially by bush meat and ivory poaching. Its forests are target for poachers and its roads and towns constitute a transit route for trafficked wildlife from Central African Republic (CAR), Congo Republic and Gabon. Local people accrue little of the benefits, watch their natural resources being depleted, and they face compromised security in their daily lives. They feel disempowered in the face of criminal elites leading IWT. The long-term solution proposed by the project aims to protect unique biodiversity of Congo and the TRIDOM area in particular via i) a strategy for strengthening the PA network through expansion of protected areas, effective functional zoning to incorporate sustainable development and biodiversity conservation, and integrative management planning; ii) strengthening capacity for effective PA and Illegal Wildlife Trade governance in Congo; and iii) reducing poaching and illegal trade on threatened species via CBNRM and sustainable livelihood.</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Penny Stock (penny.stock@undp.org)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Alain Noel AMPOLO (alain.ampolo@undp.org)</w:t>
            </w:r>
          </w:p>
        </w:tc>
      </w:tr>
      <w:tr>
        <w:trPr/>
        <w:tc>
          <w:tcPr>
            <w:tcW w:w="5000" w:type="dxa"/>
            <w:gridSpan w:val="1"/>
          </w:tcPr>
          <w:p>
            <w:pPr/>
            <w:r>
              <w:rPr/>
              <w:t xml:space="preserve">CO Focal Point</w:t>
            </w:r>
          </w:p>
        </w:tc>
        <w:tc>
          <w:tcPr>
            <w:tcW w:w="5000" w:type="dxa"/>
            <w:gridSpan w:val="1"/>
          </w:tcPr>
          <w:p>
            <w:pPr/>
            <w:r>
              <w:rPr/>
              <w:t xml:space="preserve">Mr. Lumière Jean Felix Issang (jean-felix.issang@undp.org)</w:t>
            </w:r>
          </w:p>
        </w:tc>
      </w:tr>
      <w:tr>
        <w:trPr/>
        <w:tc>
          <w:tcPr>
            <w:tcW w:w="5000" w:type="dxa"/>
            <w:gridSpan w:val="1"/>
          </w:tcPr>
          <w:p>
            <w:pPr/>
            <w:r>
              <w:rPr/>
              <w:t xml:space="preserve">GEF Operational Focal Point</w:t>
            </w:r>
          </w:p>
        </w:tc>
        <w:tc>
          <w:tcPr>
            <w:tcW w:w="5000" w:type="dxa"/>
            <w:gridSpan w:val="1"/>
          </w:tcPr>
          <w:p>
            <w:pPr/>
            <w:r>
              <w:rPr/>
              <w:t xml:space="preserve">Mr. Maurice Niangou (cetiniangou@gmail.com)</w:t>
            </w:r>
          </w:p>
        </w:tc>
      </w:tr>
      <w:tr>
        <w:trPr/>
        <w:tc>
          <w:tcPr>
            <w:tcW w:w="5000" w:type="dxa"/>
            <w:gridSpan w:val="1"/>
          </w:tcPr>
          <w:p>
            <w:pPr/>
            <w:r>
              <w:rPr/>
              <w:t xml:space="preserve">Project Implementing Partner</w:t>
            </w:r>
          </w:p>
        </w:tc>
        <w:tc>
          <w:tcPr>
            <w:tcW w:w="5000" w:type="dxa"/>
            <w:gridSpan w:val="1"/>
          </w:tcPr>
          <w:p>
            <w:pPr/>
            <w:r>
              <w:rPr/>
              <w:t xml:space="preserve">Mr. Jean Bosco NGANONGO (nganongojb@gmail.com)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the conservation of globally threatened species in the basins of the Republic of Congo by improving biodiversity enforcement
</w:t>
            </w:r>
          </w:p>
          <w:p>
            <w:pPr/>
            <w:r>
              <w:rPr>
                <w:b w:val="1"/>
                <w:bCs w:val="1"/>
              </w:rPr>
              <w:t xml:space="preserve">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Mandatory Indicator 1: Number of new partnership mechanisms for financing sustainable management solutions natural resources, ecosystem services at local, national and sub regional (IRRF 1.3.1.)</w:t>
            </w:r>
          </w:p>
        </w:tc>
        <w:tc>
          <w:tcPr>
            <w:tcW w:w="2000" w:type="dxa"/>
            <w:gridSpan w:val="1"/>
          </w:tcPr>
          <w:p>
            <w:pPr/>
            <w:r>
              <w:rPr/>
              <w:t xml:space="preserve">0 </w:t>
            </w:r>
          </w:p>
        </w:tc>
        <w:tc>
          <w:tcPr>
            <w:tcW w:w="2000" w:type="dxa"/>
            <w:gridSpan w:val="1"/>
          </w:tcPr>
          <w:p>
            <w:pPr/>
            <w:r>
              <w:rPr/>
              <w:t xml:space="preserve">3  </w:t>
            </w:r>
          </w:p>
        </w:tc>
        <w:tc>
          <w:tcPr>
            <w:tcW w:w="2000" w:type="dxa"/>
            <w:gridSpan w:val="1"/>
          </w:tcPr>
          <w:p>
            <w:pPr/>
            <w:r>
              <w:rPr/>
              <w:t xml:space="preserve">3  </w:t>
            </w:r>
          </w:p>
        </w:tc>
        <w:tc>
          <w:tcPr>
            <w:tcW w:w="4000" w:type="dxa"/>
            <w:gridSpan w:val="1"/>
          </w:tcPr>
          <w:p>
            <w:pPr/>
            <w:r>
              <w:rPr>
                <w:i w:val="1"/>
                <w:iCs w:val="1"/>
              </w:rPr>
              <w:t xml:space="preserve">(not set or not applicable)</w:t>
            </w:r>
          </w:p>
        </w:tc>
        <w:tc>
          <w:tcPr>
            <w:tcW w:w="4000" w:type="dxa"/>
            <w:gridSpan w:val="1"/>
          </w:tcPr>
          <w:p>
            <w:pPr/>
            <w:r>
              <w:rPr/>
              <w:t xml:space="preserve">At this stage of the project, no new partnership mechanisms have been set up to finance sustainable natural resource management solutions and ecosystem services at the local, national and subregional levels. However, discussions are underway with the ministry responsible for forest economy and several forest concessionaires (including IFO, SIFCO and SEFID) on financing sustainable natural resource management solutions through income-generating activities (IGAs). 
</w:t>
            </w:r>
          </w:p>
          <w:p>
            <w:pPr/>
            <w:r>
              <w:rPr/>
              <w:t xml:space="preserve"/>
            </w:r>
          </w:p>
        </w:tc>
      </w:tr>
      <w:tr>
        <w:trPr/>
        <w:tc>
          <w:tcPr>
            <w:tcW w:w="4000" w:type="dxa"/>
            <w:gridSpan w:val="1"/>
          </w:tcPr>
          <w:p>
            <w:pPr/>
            <w:r>
              <w:rPr/>
              <w:t xml:space="preserve">Mandatory Indicator 2:  a) Total number (%) of people (m/f) benefiting from CBWM, sustainable agriculture and forestry, and small business development in the project areas (IRRF 1.3.2)
</w:t>
            </w:r>
          </w:p>
          <w:p>
            <w:pPr/>
            <w:r>
              <w:rPr/>
              <w:t xml:space="preserve">b) Number of beneficiaries with access to renewable energy and energy efficiency through electric power from solar energy (IRRF 1.5.2) 
</w:t>
            </w:r>
          </w:p>
          <w:p>
            <w:pPr/>
            <w:r>
              <w:rPr/>
              <w:t xml:space="preserve"/>
            </w:r>
          </w:p>
        </w:tc>
        <w:tc>
          <w:tcPr>
            <w:tcW w:w="2000" w:type="dxa"/>
            <w:gridSpan w:val="1"/>
          </w:tcPr>
          <w:p>
            <w:pPr/>
            <w:r>
              <w:rPr/>
              <w:t xml:space="preserve">a) 115 (f: 63/m:52),~1%  of the population in the project area
</w:t>
            </w:r>
          </w:p>
          <w:p>
            <w:pPr/>
            <w:r>
              <w:rPr/>
              <w:t xml:space="preserve">
</w:t>
            </w:r>
          </w:p>
          <w:p>
            <w:pPr/>
            <w:r>
              <w:rPr/>
              <w:t xml:space="preserve">
</w:t>
            </w:r>
          </w:p>
          <w:p>
            <w:pPr/>
            <w:r>
              <w:rPr/>
              <w:t xml:space="preserve">
</w:t>
            </w:r>
          </w:p>
          <w:p>
            <w:pPr/>
            <w:r>
              <w:rPr/>
              <w:t xml:space="preserve">
</w:t>
            </w:r>
          </w:p>
          <w:p>
            <w:pPr/>
            <w:r>
              <w:rPr/>
              <w:t xml:space="preserve">b) 800 (f:440/m:360) 
</w:t>
            </w:r>
          </w:p>
          <w:p>
            <w:pPr/>
            <w:r>
              <w:rPr/>
              <w:t xml:space="preserve"/>
            </w:r>
          </w:p>
        </w:tc>
        <w:tc>
          <w:tcPr>
            <w:tcW w:w="2000" w:type="dxa"/>
            <w:gridSpan w:val="1"/>
          </w:tcPr>
          <w:p>
            <w:pPr/>
            <w:r>
              <w:rPr/>
              <w:t xml:space="preserve">a) 4,000 
</w:t>
            </w:r>
          </w:p>
          <w:p>
            <w:pPr/>
            <w:r>
              <w:rPr/>
              <w:t xml:space="preserve">(f: 2,800/m:1,200), 33% of the population in the project area
</w:t>
            </w:r>
          </w:p>
          <w:p>
            <w:pPr/>
            <w:r>
              <w:rPr/>
              <w:t xml:space="preserve"> 
</w:t>
            </w:r>
          </w:p>
          <w:p>
            <w:pPr/>
            <w:r>
              <w:rPr/>
              <w:t xml:space="preserve">
</w:t>
            </w:r>
          </w:p>
          <w:p>
            <w:pPr/>
            <w:r>
              <w:rPr/>
              <w:t xml:space="preserve">
</w:t>
            </w:r>
          </w:p>
          <w:p>
            <w:pPr/>
            <w:r>
              <w:rPr/>
              <w:t xml:space="preserve">b) 1,500 
</w:t>
            </w:r>
          </w:p>
          <w:p>
            <w:pPr/>
            <w:r>
              <w:rPr/>
              <w:t xml:space="preserve">(f: 1050/m:450) 
</w:t>
            </w:r>
          </w:p>
          <w:p>
            <w:pPr/>
            <w:r>
              <w:rPr/>
              <w:t xml:space="preserve"/>
            </w:r>
          </w:p>
        </w:tc>
        <w:tc>
          <w:tcPr>
            <w:tcW w:w="2000" w:type="dxa"/>
            <w:gridSpan w:val="1"/>
          </w:tcPr>
          <w:p>
            <w:pPr/>
            <w:r>
              <w:rPr/>
              <w:t xml:space="preserve">a)8,000 (f:5,600/m:2,400), 67% of the population in the project area
</w:t>
            </w:r>
          </w:p>
          <w:p>
            <w:pPr/>
            <w:r>
              <w:rPr/>
              <w:t xml:space="preserve">
</w:t>
            </w:r>
          </w:p>
          <w:p>
            <w:pPr/>
            <w:r>
              <w:rPr/>
              <w:t xml:space="preserve">
</w:t>
            </w:r>
          </w:p>
          <w:p>
            <w:pPr/>
            <w:r>
              <w:rPr/>
              <w:t xml:space="preserve">
</w:t>
            </w:r>
          </w:p>
          <w:p>
            <w:pPr/>
            <w:r>
              <w:rPr/>
              <w:t xml:space="preserve">b)3,000 (f:2,100/m:900)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227 farmers (men and women), including youth and indigenous populations, were identified to receive financial support to develop IGAs in the project area. However, with the suspension of activities in the field, gender-disaggregated data are not available. 
</w:t>
            </w:r>
          </w:p>
          <w:p>
            <w:pPr/>
            <w:r>
              <w:rPr/>
              <w:t xml:space="preserve"> 
</w:t>
            </w:r>
          </w:p>
          <w:p>
            <w:pPr/>
            <w:r>
              <w:rPr/>
              <w:t xml:space="preserve">At this stage of the project, no beneficiary has access to renewable energy and energy efficiency via electricity from solar energy. However, the project team is advocating with the government to obtain expanded access to electricity for the populations.
</w:t>
            </w:r>
          </w:p>
          <w:p>
            <w:pPr/>
            <w:r>
              <w:rPr/>
              <w:t xml:space="preserve"/>
            </w:r>
          </w:p>
        </w:tc>
      </w:tr>
      <w:tr>
        <w:trPr/>
        <w:tc>
          <w:tcPr>
            <w:tcW w:w="4000" w:type="dxa"/>
            <w:gridSpan w:val="1"/>
          </w:tcPr>
          <w:p>
            <w:pPr/>
            <w:r>
              <w:rPr/>
              <w:t xml:space="preserve">Mandatory Indicator 3: Extent to which institutional frameworks are in place for conservation, sustainable use, and access and benefit sharing of natural resources, biodiversity and ecosystems (IRRF 2.5.1):
</w:t>
            </w:r>
          </w:p>
          <w:p>
            <w:pPr/>
            <w:r>
              <w:rPr/>
              <w:t xml:space="preserve">a)	National Wildlife Crime Enforcement Unit;
</w:t>
            </w:r>
          </w:p>
          <w:p>
            <w:pPr/>
            <w:r>
              <w:rPr/>
              <w:t xml:space="preserve">b)	National IWT Enforcement Strategy
</w:t>
            </w:r>
          </w:p>
          <w:p>
            <w:pPr/>
            <w:r>
              <w:rPr/>
              <w:t xml:space="preserve"/>
            </w:r>
          </w:p>
        </w:tc>
        <w:tc>
          <w:tcPr>
            <w:tcW w:w="2000" w:type="dxa"/>
            <w:gridSpan w:val="1"/>
          </w:tcPr>
          <w:p>
            <w:pPr/>
            <w:r>
              <w:rPr/>
              <w:t xml:space="preserve">a)	None
</w:t>
            </w:r>
          </w:p>
          <w:p>
            <w:pPr/>
            <w:r>
              <w:rPr/>
              <w:t xml:space="preserve">
</w:t>
            </w:r>
          </w:p>
          <w:p>
            <w:pPr/>
            <w:r>
              <w:rPr/>
              <w:t xml:space="preserve">b)	None</w:t>
            </w:r>
          </w:p>
        </w:tc>
        <w:tc>
          <w:tcPr>
            <w:tcW w:w="2000" w:type="dxa"/>
            <w:gridSpan w:val="1"/>
          </w:tcPr>
          <w:p>
            <w:pPr/>
            <w:r>
              <w:rPr/>
              <w:t xml:space="preserve">a) officially established
</w:t>
            </w:r>
          </w:p>
          <w:p>
            <w:pPr/>
            <w:r>
              <w:rPr/>
              <w:t xml:space="preserve">b) approved by Government 
</w:t>
            </w:r>
          </w:p>
          <w:p>
            <w:pPr/>
            <w:r>
              <w:rPr/>
              <w:t xml:space="preserve">
</w:t>
            </w:r>
          </w:p>
          <w:p>
            <w:pPr/>
            <w:r>
              <w:rPr/>
              <w:t xml:space="preserve">
</w:t>
            </w:r>
          </w:p>
          <w:p>
            <w:pPr/>
            <w:r>
              <w:rPr/>
              <w:t xml:space="preserve"/>
            </w:r>
          </w:p>
        </w:tc>
        <w:tc>
          <w:tcPr>
            <w:tcW w:w="2000" w:type="dxa"/>
            <w:gridSpan w:val="1"/>
          </w:tcPr>
          <w:p>
            <w:pPr/>
            <w:r>
              <w:rPr/>
              <w:t xml:space="preserve">a) Fully operational 
</w:t>
            </w:r>
          </w:p>
          <w:p>
            <w:pPr/>
            <w:r>
              <w:rPr/>
              <w:t xml:space="preserve">
</w:t>
            </w:r>
          </w:p>
          <w:p>
            <w:pPr/>
            <w:r>
              <w:rPr/>
              <w:t xml:space="preserve">b) Implemented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No institution has been set up to date. Actions under this indicator will be carried out in 2020.  
</w:t>
            </w:r>
          </w:p>
          <w:p>
            <w:pPr/>
            <w:r>
              <w:rPr/>
              <w:t xml:space="preserve">
</w:t>
            </w:r>
          </w:p>
          <w:p>
            <w:pPr/>
            <w:r>
              <w:rPr/>
              <w:t xml:space="preserve">
</w:t>
            </w:r>
          </w:p>
          <w:p>
            <w:pPr/>
            <w:r>
              <w:rPr/>
              <w:t xml:space="preserve"/>
            </w:r>
          </w:p>
        </w:tc>
      </w:tr>
      <w:tr>
        <w:trPr/>
        <w:tc>
          <w:tcPr>
            <w:tcW w:w="4000" w:type="dxa"/>
            <w:gridSpan w:val="1"/>
          </w:tcPr>
          <w:p>
            <w:pPr/>
            <w:r>
              <w:rPr/>
              <w:t xml:space="preserve">Populations of forest elephant (a) and gorilla (b) in the project area</w:t>
            </w:r>
          </w:p>
        </w:tc>
        <w:tc>
          <w:tcPr>
            <w:tcW w:w="2000" w:type="dxa"/>
            <w:gridSpan w:val="1"/>
          </w:tcPr>
          <w:p>
            <w:pPr/>
            <w:r>
              <w:rPr/>
              <w:t xml:space="preserve">a)	20,000 
</w:t>
            </w:r>
          </w:p>
          <w:p>
            <w:pPr/>
            <w:r>
              <w:rPr/>
              <w:t xml:space="preserve">b)	26,000 
</w:t>
            </w:r>
          </w:p>
          <w:p>
            <w:pPr/>
            <w:r>
              <w:rPr/>
              <w:t xml:space="preserve">
</w:t>
            </w:r>
          </w:p>
          <w:p>
            <w:pPr/>
            <w:r>
              <w:rPr/>
              <w:t xml:space="preserve">(2016)
</w:t>
            </w:r>
          </w:p>
          <w:p>
            <w:pPr/>
            <w:r>
              <w:rPr/>
              <w:t xml:space="preserve"/>
            </w:r>
          </w:p>
        </w:tc>
        <w:tc>
          <w:tcPr>
            <w:tcW w:w="2000" w:type="dxa"/>
            <w:gridSpan w:val="1"/>
          </w:tcPr>
          <w:p>
            <w:pPr/>
            <w:r>
              <w:rPr/>
              <w:t xml:space="preserve">a)	20,000 
</w:t>
            </w:r>
          </w:p>
          <w:p>
            <w:pPr/>
            <w:r>
              <w:rPr/>
              <w:t xml:space="preserve">b)	26,000 </w:t>
            </w:r>
          </w:p>
        </w:tc>
        <w:tc>
          <w:tcPr>
            <w:tcW w:w="2000" w:type="dxa"/>
            <w:gridSpan w:val="1"/>
          </w:tcPr>
          <w:p>
            <w:pPr/>
            <w:r>
              <w:rPr/>
              <w:t xml:space="preserve">a)	20,000 
</w:t>
            </w:r>
          </w:p>
          <w:p>
            <w:pPr/>
            <w:r>
              <w:rPr/>
              <w:t xml:space="preserve">b)	26,000 </w:t>
            </w:r>
          </w:p>
        </w:tc>
        <w:tc>
          <w:tcPr>
            <w:tcW w:w="4000" w:type="dxa"/>
            <w:gridSpan w:val="1"/>
          </w:tcPr>
          <w:p>
            <w:pPr/>
            <w:r>
              <w:rPr>
                <w:i w:val="1"/>
                <w:iCs w:val="1"/>
              </w:rPr>
              <w:t xml:space="preserve">(not set or not applicable)</w:t>
            </w:r>
          </w:p>
        </w:tc>
        <w:tc>
          <w:tcPr>
            <w:tcW w:w="4000" w:type="dxa"/>
            <w:gridSpan w:val="1"/>
          </w:tcPr>
          <w:p>
            <w:pPr/>
            <w:r>
              <w:rPr/>
              <w:t xml:space="preserve">No survey has been conducted to date that can provide data under this indicator. 
</w:t>
            </w:r>
          </w:p>
          <w:p>
            <w:pPr/>
            <w:r>
              <w:rPr/>
              <w:t xml:space="preserve"> 
</w:t>
            </w:r>
          </w:p>
          <w:p>
            <w:pPr/>
            <w:r>
              <w:rPr/>
              <w:t xml:space="preserve">NA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Expanded PA network and improved management effectiveness of PAs in the Congo Basin, specifically Odzala-Kokoua, Lossi Gorilla Sanctuary, and Messok Dja, an area of 2,667,160  ha
</w:t>
            </w:r>
          </w:p>
          <w:p>
            <w:pPr/>
            <w:r>
              <w:rPr>
                <w:b w:val="1"/>
                <w:bCs w:val="1"/>
              </w:rPr>
              <w:t xml:space="preserve">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area (ha):
</w:t>
            </w:r>
          </w:p>
          <w:p>
            <w:pPr/>
            <w:r>
              <w:rPr/>
              <w:t xml:space="preserve"> 
</w:t>
            </w:r>
          </w:p>
          <w:p>
            <w:pPr/>
            <w:r>
              <w:rPr/>
              <w:t xml:space="preserve">(a)	covered by PAs/% of Aichi target for Congo, including officially Messok Dja NP, and functioning zones for three target PAs 
</w:t>
            </w:r>
          </w:p>
          <w:p>
            <w:pPr/>
            <w:r>
              <w:rPr/>
              <w:t xml:space="preserve">(b)	under implemented Integrated Management Plans
</w:t>
            </w:r>
          </w:p>
          <w:p>
            <w:pPr/>
            <w:r>
              <w:rPr/>
              <w:t xml:space="preserve"/>
            </w:r>
          </w:p>
        </w:tc>
        <w:tc>
          <w:tcPr>
            <w:tcW w:w="2000" w:type="dxa"/>
            <w:gridSpan w:val="1"/>
          </w:tcPr>
          <w:p>
            <w:pPr/>
            <w:r>
              <w:rPr/>
              <w:t xml:space="preserve">a)	1,389,600/70%
</w:t>
            </w:r>
          </w:p>
          <w:p>
            <w:pPr/>
            <w:r>
              <w:rPr/>
              <w:t xml:space="preserve">b)	0
</w:t>
            </w:r>
          </w:p>
          <w:p>
            <w:pPr/>
            <w:r>
              <w:rPr/>
              <w:t xml:space="preserve"/>
            </w:r>
          </w:p>
        </w:tc>
        <w:tc>
          <w:tcPr>
            <w:tcW w:w="2000" w:type="dxa"/>
            <w:gridSpan w:val="1"/>
          </w:tcPr>
          <w:p>
            <w:pPr/>
            <w:r>
              <w:rPr/>
              <w:t xml:space="preserve">a)	2,100,380/83%
</w:t>
            </w:r>
          </w:p>
          <w:p>
            <w:pPr/>
            <w:r>
              <w:rPr/>
              <w:t xml:space="preserve">
</w:t>
            </w:r>
          </w:p>
          <w:p>
            <w:pPr/>
            <w:r>
              <w:rPr/>
              <w:t xml:space="preserve">b)	1,533,600
</w:t>
            </w:r>
          </w:p>
          <w:p>
            <w:pPr/>
            <w:r>
              <w:rPr/>
              <w:t xml:space="preserve"/>
            </w:r>
          </w:p>
        </w:tc>
        <w:tc>
          <w:tcPr>
            <w:tcW w:w="2000" w:type="dxa"/>
            <w:gridSpan w:val="1"/>
          </w:tcPr>
          <w:p>
            <w:pPr/>
            <w:r>
              <w:rPr/>
              <w:t xml:space="preserve">a)	2,667,160/96%
</w:t>
            </w:r>
          </w:p>
          <w:p>
            <w:pPr/>
            <w:r>
              <w:rPr/>
              <w:t xml:space="preserve">
</w:t>
            </w:r>
          </w:p>
          <w:p>
            <w:pPr/>
            <w:r>
              <w:rPr/>
              <w:t xml:space="preserve">b)	2,667,160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The process has begun, but the land area baseline level has not changed.  </w:t>
            </w:r>
          </w:p>
        </w:tc>
      </w:tr>
      <w:tr>
        <w:trPr/>
        <w:tc>
          <w:tcPr>
            <w:tcW w:w="4000" w:type="dxa"/>
            <w:gridSpan w:val="1"/>
          </w:tcPr>
          <w:p>
            <w:pPr/>
            <w:r>
              <w:rPr/>
              <w:t xml:space="preserve">METT score for targeted PAs </w:t>
            </w:r>
          </w:p>
        </w:tc>
        <w:tc>
          <w:tcPr>
            <w:tcW w:w="2000" w:type="dxa"/>
            <w:gridSpan w:val="1"/>
          </w:tcPr>
          <w:p>
            <w:pPr/>
            <w:r>
              <w:rPr/>
              <w:t xml:space="preserve">PNOK: 68
</w:t>
            </w:r>
          </w:p>
          <w:p>
            <w:pPr/>
            <w:r>
              <w:rPr/>
              <w:t xml:space="preserve">SGL : 25
</w:t>
            </w:r>
          </w:p>
          <w:p>
            <w:pPr/>
            <w:r>
              <w:rPr/>
              <w:t xml:space="preserve"/>
            </w:r>
          </w:p>
        </w:tc>
        <w:tc>
          <w:tcPr>
            <w:tcW w:w="2000" w:type="dxa"/>
            <w:gridSpan w:val="1"/>
          </w:tcPr>
          <w:p>
            <w:pPr/>
            <w:r>
              <w:rPr/>
              <w:t xml:space="preserve">PNOK: 83
</w:t>
            </w:r>
          </w:p>
          <w:p>
            <w:pPr/>
            <w:r>
              <w:rPr/>
              <w:t xml:space="preserve">SGL: 50
</w:t>
            </w:r>
          </w:p>
          <w:p>
            <w:pPr/>
            <w:r>
              <w:rPr/>
              <w:t xml:space="preserve"/>
            </w:r>
          </w:p>
        </w:tc>
        <w:tc>
          <w:tcPr>
            <w:tcW w:w="2000" w:type="dxa"/>
            <w:gridSpan w:val="1"/>
          </w:tcPr>
          <w:p>
            <w:pPr/>
            <w:r>
              <w:rPr/>
              <w:t xml:space="preserve">PNOK : 93
</w:t>
            </w:r>
          </w:p>
          <w:p>
            <w:pPr/>
            <w:r>
              <w:rPr/>
              <w:t xml:space="preserve">SGL: 75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No change at this time. The METT score has not been evaluated again. A new evaluation will be conducted in 2020.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Biodiversity and Illegal Wildlife Trade (IWT) priorities are integrated into key national policies and plans and harmonized with regional initiatives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Capacity of National Enforcement Agencies to control IWT (UNDP Capacity scorecard, %)</w:t>
            </w:r>
          </w:p>
        </w:tc>
        <w:tc>
          <w:tcPr>
            <w:tcW w:w="2000" w:type="dxa"/>
            <w:gridSpan w:val="1"/>
          </w:tcPr>
          <w:p>
            <w:pPr/>
            <w:r>
              <w:rPr/>
              <w:t xml:space="preserve">49% </w:t>
            </w:r>
          </w:p>
        </w:tc>
        <w:tc>
          <w:tcPr>
            <w:tcW w:w="2000" w:type="dxa"/>
            <w:gridSpan w:val="1"/>
          </w:tcPr>
          <w:p>
            <w:pPr/>
            <w:r>
              <w:rPr/>
              <w:t xml:space="preserve"> 60%</w:t>
            </w:r>
          </w:p>
        </w:tc>
        <w:tc>
          <w:tcPr>
            <w:tcW w:w="2000" w:type="dxa"/>
            <w:gridSpan w:val="1"/>
          </w:tcPr>
          <w:p>
            <w:pPr/>
            <w:r>
              <w:rPr/>
              <w:t xml:space="preserve"> 80%</w:t>
            </w:r>
          </w:p>
        </w:tc>
        <w:tc>
          <w:tcPr>
            <w:tcW w:w="4000" w:type="dxa"/>
            <w:gridSpan w:val="1"/>
          </w:tcPr>
          <w:p>
            <w:pPr/>
            <w:r>
              <w:rPr>
                <w:i w:val="1"/>
                <w:iCs w:val="1"/>
              </w:rPr>
              <w:t xml:space="preserve">(not set or not applicable)</w:t>
            </w:r>
          </w:p>
        </w:tc>
        <w:tc>
          <w:tcPr>
            <w:tcW w:w="4000" w:type="dxa"/>
            <w:gridSpan w:val="1"/>
          </w:tcPr>
          <w:p>
            <w:pPr/>
            <w:r>
              <w:rPr/>
              <w:t xml:space="preserve">The national enforcement agencies’ capacity to control IWT remains weak. Given the lack of material and financial resources, the situation is unlikely to change. The IWT control reference level has not changed since the project began. Capacities remain below 50%.</w:t>
            </w:r>
          </w:p>
        </w:tc>
      </w:tr>
      <w:tr>
        <w:trPr/>
        <w:tc>
          <w:tcPr>
            <w:tcW w:w="4000" w:type="dxa"/>
            <w:gridSpan w:val="1"/>
          </w:tcPr>
          <w:p>
            <w:pPr/>
            <w:r>
              <w:rPr/>
              <w:t xml:space="preserve">Results of law enforcement on IWT in the project area in 2016: 
</w:t>
            </w:r>
          </w:p>
          <w:p>
            <w:pPr/>
            <w:r>
              <w:rPr/>
              <w:t xml:space="preserve">1.	annual number of inspections/patrolling;
</w:t>
            </w:r>
          </w:p>
          <w:p>
            <w:pPr/>
            <w:r>
              <w:rPr/>
              <w:t xml:space="preserve">2.	annual number seizures;
</w:t>
            </w:r>
          </w:p>
          <w:p>
            <w:pPr/>
            <w:r>
              <w:rPr/>
              <w:t xml:space="preserve">3.	annual number of arrests;
</w:t>
            </w:r>
          </w:p>
          <w:p>
            <w:pPr/>
            <w:r>
              <w:rPr/>
              <w:t xml:space="preserve">4.	annual number of successful prosecutions on poaching and IWT
</w:t>
            </w:r>
          </w:p>
          <w:p>
            <w:pPr/>
            <w:r>
              <w:rPr/>
              <w:t xml:space="preserve"/>
            </w:r>
          </w:p>
        </w:tc>
        <w:tc>
          <w:tcPr>
            <w:tcW w:w="2000" w:type="dxa"/>
            <w:gridSpan w:val="1"/>
          </w:tcPr>
          <w:p>
            <w:pPr/>
            <w:r>
              <w:rPr/>
              <w:t xml:space="preserve">1.	420
</w:t>
            </w:r>
          </w:p>
          <w:p>
            <w:pPr/>
            <w:r>
              <w:rPr/>
              <w:t xml:space="preserve">
</w:t>
            </w:r>
          </w:p>
          <w:p>
            <w:pPr/>
            <w:r>
              <w:rPr/>
              <w:t xml:space="preserve">2.	102
</w:t>
            </w:r>
          </w:p>
          <w:p>
            <w:pPr/>
            <w:r>
              <w:rPr/>
              <w:t xml:space="preserve">
</w:t>
            </w:r>
          </w:p>
          <w:p>
            <w:pPr/>
            <w:r>
              <w:rPr/>
              <w:t xml:space="preserve">3.	98
</w:t>
            </w:r>
          </w:p>
          <w:p>
            <w:pPr/>
            <w:r>
              <w:rPr/>
              <w:t xml:space="preserve">
</w:t>
            </w:r>
          </w:p>
          <w:p>
            <w:pPr/>
            <w:r>
              <w:rPr/>
              <w:t xml:space="preserve">
</w:t>
            </w:r>
          </w:p>
          <w:p>
            <w:pPr/>
            <w:r>
              <w:rPr/>
              <w:t xml:space="preserve">4.	32
</w:t>
            </w:r>
          </w:p>
          <w:p>
            <w:pPr/>
            <w:r>
              <w:rPr/>
              <w:t xml:space="preserve"/>
            </w:r>
          </w:p>
        </w:tc>
        <w:tc>
          <w:tcPr>
            <w:tcW w:w="2000" w:type="dxa"/>
            <w:gridSpan w:val="1"/>
          </w:tcPr>
          <w:p>
            <w:pPr/>
            <w:r>
              <w:rPr/>
              <w:t xml:space="preserve">1.	504
</w:t>
            </w:r>
          </w:p>
          <w:p>
            <w:pPr/>
            <w:r>
              <w:rPr/>
              <w:t xml:space="preserve">
</w:t>
            </w:r>
          </w:p>
          <w:p>
            <w:pPr/>
            <w:r>
              <w:rPr/>
              <w:t xml:space="preserve">2.	122
</w:t>
            </w:r>
          </w:p>
          <w:p>
            <w:pPr/>
            <w:r>
              <w:rPr/>
              <w:t xml:space="preserve">
</w:t>
            </w:r>
          </w:p>
          <w:p>
            <w:pPr/>
            <w:r>
              <w:rPr/>
              <w:t xml:space="preserve">3.	118
</w:t>
            </w:r>
          </w:p>
          <w:p>
            <w:pPr/>
            <w:r>
              <w:rPr/>
              <w:t xml:space="preserve">
</w:t>
            </w:r>
          </w:p>
          <w:p>
            <w:pPr/>
            <w:r>
              <w:rPr/>
              <w:t xml:space="preserve">
</w:t>
            </w:r>
          </w:p>
          <w:p>
            <w:pPr/>
            <w:r>
              <w:rPr/>
              <w:t xml:space="preserve">4.	46</w:t>
            </w:r>
          </w:p>
        </w:tc>
        <w:tc>
          <w:tcPr>
            <w:tcW w:w="2000" w:type="dxa"/>
            <w:gridSpan w:val="1"/>
          </w:tcPr>
          <w:p>
            <w:pPr/>
            <w:r>
              <w:rPr/>
              <w:t xml:space="preserve">1.	588
</w:t>
            </w:r>
          </w:p>
          <w:p>
            <w:pPr/>
            <w:r>
              <w:rPr/>
              <w:t xml:space="preserve">
</w:t>
            </w:r>
          </w:p>
          <w:p>
            <w:pPr/>
            <w:r>
              <w:rPr/>
              <w:t xml:space="preserve">2.	142
</w:t>
            </w:r>
          </w:p>
          <w:p>
            <w:pPr/>
            <w:r>
              <w:rPr/>
              <w:t xml:space="preserve">
</w:t>
            </w:r>
          </w:p>
          <w:p>
            <w:pPr/>
            <w:r>
              <w:rPr/>
              <w:t xml:space="preserve">3.	137
</w:t>
            </w:r>
          </w:p>
          <w:p>
            <w:pPr/>
            <w:r>
              <w:rPr/>
              <w:t xml:space="preserve">
</w:t>
            </w:r>
          </w:p>
          <w:p>
            <w:pPr/>
            <w:r>
              <w:rPr/>
              <w:t xml:space="preserve">4.	56</w:t>
            </w:r>
          </w:p>
        </w:tc>
        <w:tc>
          <w:tcPr>
            <w:tcW w:w="4000" w:type="dxa"/>
            <w:gridSpan w:val="1"/>
          </w:tcPr>
          <w:p>
            <w:pPr/>
            <w:r>
              <w:rPr>
                <w:i w:val="1"/>
                <w:iCs w:val="1"/>
              </w:rPr>
              <w:t xml:space="preserve">(not set or not applicable)</w:t>
            </w:r>
          </w:p>
        </w:tc>
        <w:tc>
          <w:tcPr>
            <w:tcW w:w="4000" w:type="dxa"/>
            <w:gridSpan w:val="1"/>
          </w:tcPr>
          <w:p>
            <w:pPr/>
            <w:r>
              <w:rPr/>
              <w:t xml:space="preserve">1. Number of annual inspections/patrols: 955 
</w:t>
            </w:r>
          </w:p>
          <w:p>
            <w:pPr/>
            <w:r>
              <w:rPr/>
              <w:t xml:space="preserve">2. Annual number of seizures:  
</w:t>
            </w:r>
          </w:p>
          <w:p>
            <w:pPr/>
            <w:r>
              <w:rPr/>
              <w:t xml:space="preserve">- Ivory: 33 
</w:t>
            </w:r>
          </w:p>
          <w:p>
            <w:pPr/>
            <w:r>
              <w:rPr/>
              <w:t xml:space="preserve">- Weapons: 166 
</w:t>
            </w:r>
          </w:p>
          <w:p>
            <w:pPr/>
            <w:r>
              <w:rPr/>
              <w:t xml:space="preserve">3. Annual number of arrests: 169  
</w:t>
            </w:r>
          </w:p>
          <w:p>
            <w:pPr/>
            <w:r>
              <w:rPr/>
              <w:t xml:space="preserve">4. Annual number of successful poaching and IWT prosecutions: 59 
</w:t>
            </w:r>
          </w:p>
          <w:p>
            <w:pPr/>
            <w:r>
              <w:rPr/>
              <w:t xml:space="preserve">
</w:t>
            </w:r>
          </w:p>
          <w:p>
            <w:pPr/>
            <w:r>
              <w:rPr/>
              <w:t xml:space="preserve"/>
            </w:r>
          </w:p>
        </w:tc>
      </w:tr>
      <w:tr>
        <w:trPr/>
        <w:tc>
          <w:tcPr>
            <w:tcW w:w="4000" w:type="dxa"/>
            <w:gridSpan w:val="1"/>
          </w:tcPr>
          <w:p>
            <w:pPr/>
            <w:r>
              <w:rPr/>
              <w:t xml:space="preserve">Poaching rate for forest elephants in the project area (individuals killed annually)</w:t>
            </w:r>
          </w:p>
        </w:tc>
        <w:tc>
          <w:tcPr>
            <w:tcW w:w="2000" w:type="dxa"/>
            <w:gridSpan w:val="1"/>
          </w:tcPr>
          <w:p>
            <w:pPr/>
            <w:r>
              <w:rPr/>
              <w:t xml:space="preserve">28 (2016)</w:t>
            </w:r>
          </w:p>
        </w:tc>
        <w:tc>
          <w:tcPr>
            <w:tcW w:w="2000" w:type="dxa"/>
            <w:gridSpan w:val="1"/>
          </w:tcPr>
          <w:p>
            <w:pPr/>
            <w:r>
              <w:rPr/>
              <w:t xml:space="preserve">16</w:t>
            </w:r>
          </w:p>
        </w:tc>
        <w:tc>
          <w:tcPr>
            <w:tcW w:w="2000" w:type="dxa"/>
            <w:gridSpan w:val="1"/>
          </w:tcPr>
          <w:p>
            <w:pPr/>
            <w:r>
              <w:rPr/>
              <w:t xml:space="preserve">8</w:t>
            </w:r>
          </w:p>
        </w:tc>
        <w:tc>
          <w:tcPr>
            <w:tcW w:w="4000" w:type="dxa"/>
            <w:gridSpan w:val="1"/>
          </w:tcPr>
          <w:p>
            <w:pPr/>
            <w:r>
              <w:rPr>
                <w:i w:val="1"/>
                <w:iCs w:val="1"/>
              </w:rPr>
              <w:t xml:space="preserve">(not set or not applicable)</w:t>
            </w:r>
          </w:p>
        </w:tc>
        <w:tc>
          <w:tcPr>
            <w:tcW w:w="4000" w:type="dxa"/>
            <w:gridSpan w:val="1"/>
          </w:tcPr>
          <w:p>
            <w:pPr/>
            <w:r>
              <w:rPr/>
              <w:t xml:space="preserve">Number of poached forest elephants in the project area (individuals killed annually): 22</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Strengthened sustainable livelihood capacity in the targeted PA complexes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hotspots under effective community-based poaching prevention and control</w:t>
            </w:r>
          </w:p>
        </w:tc>
        <w:tc>
          <w:tcPr>
            <w:tcW w:w="2000" w:type="dxa"/>
            <w:gridSpan w:val="1"/>
          </w:tcPr>
          <w:p>
            <w:pPr/>
            <w:r>
              <w:rPr/>
              <w:t xml:space="preserve">10</w:t>
            </w:r>
          </w:p>
        </w:tc>
        <w:tc>
          <w:tcPr>
            <w:tcW w:w="2000" w:type="dxa"/>
            <w:gridSpan w:val="1"/>
          </w:tcPr>
          <w:p>
            <w:pPr/>
            <w:r>
              <w:rPr/>
              <w:t xml:space="preserve">20</w:t>
            </w:r>
          </w:p>
        </w:tc>
        <w:tc>
          <w:tcPr>
            <w:tcW w:w="2000" w:type="dxa"/>
            <w:gridSpan w:val="1"/>
          </w:tcPr>
          <w:p>
            <w:pPr/>
            <w:r>
              <w:rPr/>
              <w:t xml:space="preserve">50</w:t>
            </w:r>
          </w:p>
        </w:tc>
        <w:tc>
          <w:tcPr>
            <w:tcW w:w="4000" w:type="dxa"/>
            <w:gridSpan w:val="1"/>
          </w:tcPr>
          <w:p>
            <w:pPr/>
            <w:r>
              <w:rPr>
                <w:i w:val="1"/>
                <w:iCs w:val="1"/>
              </w:rPr>
              <w:t xml:space="preserve">(not set or not applicable)</w:t>
            </w:r>
          </w:p>
        </w:tc>
        <w:tc>
          <w:tcPr>
            <w:tcW w:w="4000" w:type="dxa"/>
            <w:gridSpan w:val="1"/>
          </w:tcPr>
          <w:p>
            <w:pPr/>
            <w:r>
              <w:rPr/>
              <w:t xml:space="preserve">21 hotspots subject to community-based poaching prevention and control were identified but are not yet operational.</w:t>
            </w:r>
          </w:p>
        </w:tc>
      </w:tr>
      <w:tr>
        <w:trPr/>
        <w:tc>
          <w:tcPr>
            <w:tcW w:w="4000" w:type="dxa"/>
            <w:gridSpan w:val="1"/>
          </w:tcPr>
          <w:p>
            <w:pPr/>
            <w:r>
              <w:rPr/>
              <w:t xml:space="preserve">Number of direct biodiversity-friendly jobs created in the result of the project activities: Total (f/m) </w:t>
            </w:r>
          </w:p>
        </w:tc>
        <w:tc>
          <w:tcPr>
            <w:tcW w:w="2000" w:type="dxa"/>
            <w:gridSpan w:val="1"/>
          </w:tcPr>
          <w:p>
            <w:pPr/>
            <w:r>
              <w:rPr/>
              <w:t xml:space="preserve">0</w:t>
            </w:r>
          </w:p>
        </w:tc>
        <w:tc>
          <w:tcPr>
            <w:tcW w:w="2000" w:type="dxa"/>
            <w:gridSpan w:val="1"/>
          </w:tcPr>
          <w:p>
            <w:pPr/>
            <w:r>
              <w:rPr/>
              <w:t xml:space="preserve">500 (f: 350/m:150)</w:t>
            </w:r>
          </w:p>
        </w:tc>
        <w:tc>
          <w:tcPr>
            <w:tcW w:w="2000" w:type="dxa"/>
            <w:gridSpan w:val="1"/>
          </w:tcPr>
          <w:p>
            <w:pPr/>
            <w:r>
              <w:rPr/>
              <w:t xml:space="preserve">1,000 (f: 700/m: 300 ), ~8% of the population in the project area</w:t>
            </w:r>
          </w:p>
        </w:tc>
        <w:tc>
          <w:tcPr>
            <w:tcW w:w="4000" w:type="dxa"/>
            <w:gridSpan w:val="1"/>
          </w:tcPr>
          <w:p>
            <w:pPr/>
            <w:r>
              <w:rPr>
                <w:i w:val="1"/>
                <w:iCs w:val="1"/>
              </w:rPr>
              <w:t xml:space="preserve">(not set or not applicable)</w:t>
            </w:r>
          </w:p>
        </w:tc>
        <w:tc>
          <w:tcPr>
            <w:tcW w:w="4000" w:type="dxa"/>
            <w:gridSpan w:val="1"/>
          </w:tcPr>
          <w:p>
            <w:pPr/>
            <w:r>
              <w:rPr/>
              <w:t xml:space="preserve">Several categories of actors have been identified to date and are awaiting start-up of activities. They include:   
</w:t>
            </w:r>
          </w:p>
          <w:p>
            <w:pPr/>
            <w:r>
              <w:rPr/>
              <w:t xml:space="preserve">- 129 community eco-monitors for ongoing community monitoring of elephant and/or gorilla clearings and salt licks; 
</w:t>
            </w:r>
          </w:p>
          <w:p>
            <w:pPr/>
            <w:r>
              <w:rPr/>
              <w:t xml:space="preserve">- 76 people likely to grow food crops; 
</w:t>
            </w:r>
          </w:p>
          <w:p>
            <w:pPr/>
            <w:r>
              <w:rPr/>
              <w:t xml:space="preserve">-- 17 people likely to breed sheep, goats and pigs; 
</w:t>
            </w:r>
          </w:p>
          <w:p>
            <w:pPr/>
            <w:r>
              <w:rPr/>
              <w:t xml:space="preserve">- 2 people likely to practice inland fishing; 
</w:t>
            </w:r>
          </w:p>
          <w:p>
            <w:pPr/>
            <w:r>
              <w:rPr/>
              <w:t xml:space="preserve">- 4 apiaries with a total of 150 hives to be distributed among 30 family groups, in four village lands (terroirs villageois) around Odzala-Kokoua National Park. 
</w:t>
            </w:r>
          </w:p>
          <w:p>
            <w:pPr/>
            <w:r>
              <w:rPr/>
              <w:t xml:space="preserve">
</w:t>
            </w:r>
          </w:p>
          <w:p>
            <w:pPr/>
            <w:r>
              <w:rPr/>
              <w:t xml:space="preserve"/>
            </w:r>
          </w:p>
        </w:tc>
      </w:tr>
      <w:tr>
        <w:trPr/>
        <w:tc>
          <w:tcPr>
            <w:tcW w:w="4000" w:type="dxa"/>
            <w:gridSpan w:val="1"/>
          </w:tcPr>
          <w:p>
            <w:pPr/>
            <w:r>
              <w:rPr/>
              <w:t xml:space="preserve">Total area under CBNRM (ha) and sustainable land management </w:t>
            </w:r>
          </w:p>
        </w:tc>
        <w:tc>
          <w:tcPr>
            <w:tcW w:w="2000" w:type="dxa"/>
            <w:gridSpan w:val="1"/>
          </w:tcPr>
          <w:p>
            <w:pPr/>
            <w:r>
              <w:rPr/>
              <w:t xml:space="preserve">0</w:t>
            </w:r>
          </w:p>
        </w:tc>
        <w:tc>
          <w:tcPr>
            <w:tcW w:w="2000" w:type="dxa"/>
            <w:gridSpan w:val="1"/>
          </w:tcPr>
          <w:p>
            <w:pPr/>
            <w:r>
              <w:rPr/>
              <w:t xml:space="preserve">566,780</w:t>
            </w:r>
          </w:p>
        </w:tc>
        <w:tc>
          <w:tcPr>
            <w:tcW w:w="2000" w:type="dxa"/>
            <w:gridSpan w:val="1"/>
          </w:tcPr>
          <w:p>
            <w:pPr/>
            <w:r>
              <w:rPr/>
              <w:t xml:space="preserve">1,133,560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This land area will be estimated when all data collected in the lands selected are pooled.</w:t>
            </w:r>
          </w:p>
        </w:tc>
      </w:tr>
      <w:tr>
        <w:trPr/>
        <w:tc>
          <w:tcPr>
            <w:tcW w:w="4000" w:type="dxa"/>
            <w:gridSpan w:val="1"/>
          </w:tcPr>
          <w:p>
            <w:pPr/>
            <w:r>
              <w:rPr/>
              <w:t xml:space="preserve">Total volume of CO2 mitigated in the project area as per the GEF GWP TT (tCO2eq)</w:t>
            </w:r>
          </w:p>
        </w:tc>
        <w:tc>
          <w:tcPr>
            <w:tcW w:w="2000" w:type="dxa"/>
            <w:gridSpan w:val="1"/>
          </w:tcPr>
          <w:p>
            <w:pPr/>
            <w:r>
              <w:rPr/>
              <w:t xml:space="preserve">0</w:t>
            </w:r>
          </w:p>
        </w:tc>
        <w:tc>
          <w:tcPr>
            <w:tcW w:w="2000" w:type="dxa"/>
            <w:gridSpan w:val="1"/>
          </w:tcPr>
          <w:p>
            <w:pPr/>
            <w:r>
              <w:rPr/>
              <w:t xml:space="preserve">5,000,000</w:t>
            </w:r>
          </w:p>
        </w:tc>
        <w:tc>
          <w:tcPr>
            <w:tcW w:w="2000" w:type="dxa"/>
            <w:gridSpan w:val="1"/>
          </w:tcPr>
          <w:p>
            <w:pPr/>
            <w:r>
              <w:rPr/>
              <w:t xml:space="preserve">11,380,000 </w:t>
            </w:r>
          </w:p>
        </w:tc>
        <w:tc>
          <w:tcPr>
            <w:tcW w:w="4000" w:type="dxa"/>
            <w:gridSpan w:val="1"/>
          </w:tcPr>
          <w:p>
            <w:pPr/>
            <w:r>
              <w:rPr>
                <w:i w:val="1"/>
                <w:iCs w:val="1"/>
              </w:rPr>
              <w:t xml:space="preserve">(not set or not applicable)</w:t>
            </w:r>
          </w:p>
        </w:tc>
        <w:tc>
          <w:tcPr>
            <w:tcW w:w="4000" w:type="dxa"/>
            <w:gridSpan w:val="1"/>
          </w:tcPr>
          <w:p>
            <w:pPr/>
            <w:r>
              <w:rPr/>
              <w:t xml:space="preserve">This figure is not available; the reference level remains 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Lessons learned by the project through participatory M&amp;E, including gender mainstreaming practices, are used to fight poaching and IWT and promote community-based conservation nationally and internationally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the lessons on IWT control and CBNRM learned by the project that used in other national and international projects </w:t>
            </w:r>
          </w:p>
        </w:tc>
        <w:tc>
          <w:tcPr>
            <w:tcW w:w="2000" w:type="dxa"/>
            <w:gridSpan w:val="1"/>
          </w:tcPr>
          <w:p>
            <w:pPr/>
            <w:r>
              <w:rPr/>
              <w:t xml:space="preserve">0</w:t>
            </w:r>
          </w:p>
        </w:tc>
        <w:tc>
          <w:tcPr>
            <w:tcW w:w="2000" w:type="dxa"/>
            <w:gridSpan w:val="1"/>
          </w:tcPr>
          <w:p>
            <w:pPr/>
            <w:r>
              <w:rPr/>
              <w:t xml:space="preserve">5</w:t>
            </w:r>
          </w:p>
        </w:tc>
        <w:tc>
          <w:tcPr>
            <w:tcW w:w="2000" w:type="dxa"/>
            <w:gridSpan w:val="1"/>
          </w:tcPr>
          <w:p>
            <w:pPr/>
            <w:r>
              <w:rPr/>
              <w:t xml:space="preserve">10</w:t>
            </w:r>
          </w:p>
        </w:tc>
        <w:tc>
          <w:tcPr>
            <w:tcW w:w="4000" w:type="dxa"/>
            <w:gridSpan w:val="1"/>
          </w:tcPr>
          <w:p>
            <w:pPr/>
            <w:r>
              <w:rPr>
                <w:i w:val="1"/>
                <w:iCs w:val="1"/>
              </w:rPr>
              <w:t xml:space="preserve">(not set or not applicable)</w:t>
            </w:r>
          </w:p>
        </w:tc>
        <w:tc>
          <w:tcPr>
            <w:tcW w:w="4000" w:type="dxa"/>
            <w:gridSpan w:val="1"/>
          </w:tcPr>
          <w:p>
            <w:pPr/>
            <w:r>
              <w:rPr/>
              <w:t xml:space="preserve">No lessons to cite at this stage of the project. The experience with establishing the sniffer dog brigade in the project area will provide statistical data in coming months.</w:t>
            </w:r>
          </w:p>
        </w:tc>
      </w:tr>
      <w:tr>
        <w:trPr/>
        <w:tc>
          <w:tcPr>
            <w:tcW w:w="4000" w:type="dxa"/>
            <w:gridSpan w:val="1"/>
          </w:tcPr>
          <w:p>
            <w:pPr/>
            <w:r>
              <w:rPr/>
              <w:t xml:space="preserve">% of women among the project participants directly benefiting from the project activities</w:t>
            </w:r>
          </w:p>
        </w:tc>
        <w:tc>
          <w:tcPr>
            <w:tcW w:w="2000" w:type="dxa"/>
            <w:gridSpan w:val="1"/>
          </w:tcPr>
          <w:p>
            <w:pPr/>
            <w:r>
              <w:rPr/>
              <w:t xml:space="preserve">2%</w:t>
            </w:r>
          </w:p>
        </w:tc>
        <w:tc>
          <w:tcPr>
            <w:tcW w:w="2000" w:type="dxa"/>
            <w:gridSpan w:val="1"/>
          </w:tcPr>
          <w:p>
            <w:pPr/>
            <w:r>
              <w:rPr/>
              <w:t xml:space="preserve">30%</w:t>
            </w:r>
          </w:p>
        </w:tc>
        <w:tc>
          <w:tcPr>
            <w:tcW w:w="2000" w:type="dxa"/>
            <w:gridSpan w:val="1"/>
          </w:tcPr>
          <w:p>
            <w:pPr/>
            <w:r>
              <w:rPr/>
              <w:t xml:space="preserve">50%</w:t>
            </w:r>
          </w:p>
        </w:tc>
        <w:tc>
          <w:tcPr>
            <w:tcW w:w="4000" w:type="dxa"/>
            <w:gridSpan w:val="1"/>
          </w:tcPr>
          <w:p>
            <w:pPr/>
            <w:r>
              <w:rPr>
                <w:i w:val="1"/>
                <w:iCs w:val="1"/>
              </w:rPr>
              <w:t xml:space="preserve">(not set or not applicable)</w:t>
            </w:r>
          </w:p>
        </w:tc>
        <w:tc>
          <w:tcPr>
            <w:tcW w:w="4000" w:type="dxa"/>
            <w:gridSpan w:val="1"/>
          </w:tcPr>
          <w:p>
            <w:pPr/>
            <w:r>
              <w:rPr/>
              <w:t xml:space="preserve">Based on identification, the number of women beneficiaries exceeds 30% of the population concerned.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40.7%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49.04%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1,272,042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3,125,250</w:t>
            </w:r>
          </w:p>
        </w:tc>
      </w:tr>
      <w:tr>
        <w:trPr/>
        <w:tc>
          <w:tcPr>
            <w:tcW w:w="8000" w:type="dxa"/>
            <w:gridSpan w:val="1"/>
          </w:tcPr>
          <w:p>
            <w:pPr/>
            <w:r>
              <w:rPr/>
              <w:t xml:space="preserve">Co-financing</w:t>
            </w:r>
          </w:p>
        </w:tc>
        <w:tc>
          <w:tcPr>
            <w:tcW w:w="8000" w:type="dxa"/>
            <w:gridSpan w:val="1"/>
          </w:tcPr>
          <w:p>
            <w:pPr/>
            <w:r>
              <w:rPr/>
              <w:t xml:space="preserve">20,682,400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Jun 9, 2017</w:t>
            </w:r>
          </w:p>
        </w:tc>
      </w:tr>
      <w:tr>
        <w:trPr/>
        <w:tc>
          <w:tcPr>
            <w:tcW w:w="8000" w:type="dxa"/>
            <w:gridSpan w:val="1"/>
          </w:tcPr>
          <w:p>
            <w:pPr/>
            <w:r>
              <w:rPr/>
              <w:t xml:space="preserve">Project Document Signature Date (project start date):</w:t>
            </w:r>
          </w:p>
        </w:tc>
        <w:tc>
          <w:tcPr>
            <w:tcW w:w="8000" w:type="dxa"/>
            <w:gridSpan w:val="1"/>
          </w:tcPr>
          <w:p>
            <w:pPr/>
            <w:r>
              <w:rPr/>
              <w:t xml:space="preserve">Oct 6, 2017</w:t>
            </w:r>
          </w:p>
        </w:tc>
      </w:tr>
      <w:tr>
        <w:trPr/>
        <w:tc>
          <w:tcPr>
            <w:tcW w:w="8000" w:type="dxa"/>
            <w:gridSpan w:val="1"/>
          </w:tcPr>
          <w:p>
            <w:pPr/>
            <w:r>
              <w:rPr/>
              <w:t xml:space="preserve">Date of Inception Workshop</w:t>
            </w:r>
          </w:p>
        </w:tc>
        <w:tc>
          <w:tcPr>
            <w:tcW w:w="8000" w:type="dxa"/>
            <w:gridSpan w:val="1"/>
          </w:tcPr>
          <w:p>
            <w:pPr/>
            <w:r>
              <w:rPr/>
              <w:t xml:space="preserve">Oct 12, 2017</w:t>
            </w:r>
          </w:p>
        </w:tc>
      </w:tr>
      <w:tr>
        <w:trPr/>
        <w:tc>
          <w:tcPr>
            <w:tcW w:w="8000" w:type="dxa"/>
            <w:gridSpan w:val="1"/>
          </w:tcPr>
          <w:p>
            <w:pPr/>
            <w:r>
              <w:rPr/>
              <w:t xml:space="preserve">Expected Date of Mid-term Review</w:t>
            </w:r>
          </w:p>
        </w:tc>
        <w:tc>
          <w:tcPr>
            <w:tcW w:w="8000" w:type="dxa"/>
            <w:gridSpan w:val="1"/>
          </w:tcPr>
          <w:p>
            <w:pPr/>
            <w:r>
              <w:rPr/>
              <w:t xml:space="preserve">Oct 31, 2020</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Mar 31, 2023</w:t>
            </w:r>
          </w:p>
        </w:tc>
      </w:tr>
      <w:tr>
        <w:trPr/>
        <w:tc>
          <w:tcPr>
            <w:tcW w:w="8000" w:type="dxa"/>
            <w:gridSpan w:val="1"/>
          </w:tcPr>
          <w:p>
            <w:pPr/>
            <w:r>
              <w:rPr/>
              <w:t xml:space="preserve">Original Planned Closing Date</w:t>
            </w:r>
          </w:p>
        </w:tc>
        <w:tc>
          <w:tcPr>
            <w:tcW w:w="8000" w:type="dxa"/>
            <w:gridSpan w:val="1"/>
          </w:tcPr>
          <w:p>
            <w:pPr/>
            <w:r>
              <w:rPr/>
              <w:t xml:space="preserve">Mar 31, 2023</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2018-10-28</w:t>
            </w:r>
          </w:p>
        </w:tc>
      </w:tr>
      <w:tr>
        <w:trPr/>
        <w:tc>
          <w:tcPr>
            <w:tcW w:w="16000" w:type="dxa"/>
            <w:gridSpan w:val="1"/>
          </w:tcPr>
          <w:p>
            <w:pPr/>
            <w:r>
              <w:rPr/>
              <w:t xml:space="preserve">2019-01-18</w:t>
            </w:r>
          </w:p>
        </w:tc>
      </w:tr>
      <w:tr>
        <w:trPr/>
        <w:tc>
          <w:tcPr>
            <w:tcW w:w="16000" w:type="dxa"/>
            <w:gridSpan w:val="1"/>
          </w:tcPr>
          <w:p>
            <w:pPr/>
            <w:r>
              <w:rPr/>
              <w:t xml:space="preserve">2019-04-02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operational risk facing the project involves the delay in executing the activities that occurred 2019. This delay is related to the pending publication of the mission report of the UNDP Social and Environmental Compliance Unit (SECU) of the Office of Audit and Investigations (OAI). The mission was organized following a complaint filed by the NGO, Survival, on behalf of the Baka people, alleging failure to comply with UNDP social and environmental standards. 
</w:t>
            </w:r>
          </w:p>
          <w:p>
            <w:pPr/>
            <w:r>
              <w:rPr/>
              <w:t xml:space="preserve"> 
</w:t>
            </w:r>
          </w:p>
          <w:p>
            <w:pPr/>
            <w:r>
              <w:rPr/>
              <w:t xml:space="preserve">After the mission issues its recommendations, measures will be taken and the project activities will get underway. However, the project team, UNDP and headquarters have agreed on a limited number of upstream activities that will be carried out pending publication of the SECU report.
</w:t>
            </w:r>
          </w:p>
          <w:p>
            <w:pPr/>
            <w:r>
              <w:rPr/>
              <w:t xml:space="preserve"/>
            </w:r>
          </w:p>
        </w:tc>
      </w:tr>
      <w:tr>
        <w:trPr/>
        <w:tc>
          <w:tcPr>
            <w:tcW w:w="4000" w:type="dxa"/>
            <w:gridSpan w:val="1"/>
          </w:tcPr>
          <w:p>
            <w:pPr/>
            <w:r>
              <w:rPr/>
              <w:t xml:space="preserve">Financial</w:t>
            </w:r>
          </w:p>
        </w:tc>
        <w:tc>
          <w:tcPr>
            <w:tcW w:w="12000" w:type="dxa"/>
            <w:gridSpan w:val="1"/>
          </w:tcPr>
          <w:p>
            <w:pPr/>
            <w:r>
              <w:rPr/>
              <w:t xml:space="preserve">The delay in executing the project activities could reduce the expected delivery rate and may prevent all budgeted resources from being used in 2019.</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project is on hold pending the outcome of the SECU Investigation into compliance with UNDP SES further to the complaint lodged by Survival International. 
</w:t>
            </w:r>
          </w:p>
          <w:p>
            <w:pPr/>
            <w:r>
              <w:rPr/>
              <w:t xml:space="preserve">
</w:t>
            </w:r>
          </w:p>
          <w:p>
            <w:pPr/>
            <w:r>
              <w:rPr/>
              <w:t xml:space="preserve">The investigation is highly sensitive where it relates to additional allegations made against project partner, WWF, alleging serious human rights abuses. Evidence continues to emerge for consideration by the investigating team and at this stage, the Report has not yet been published. 
</w:t>
            </w:r>
          </w:p>
          <w:p>
            <w:pPr/>
            <w:r>
              <w:rPr/>
              <w:t xml:space="preserve">
</w:t>
            </w:r>
          </w:p>
          <w:p>
            <w:pPr/>
            <w:r>
              <w:rPr/>
              <w:t xml:space="preserve">Continuing delays in publication of the Report will likely have significant consequences for project implementation and delivery over the course of the next year including the MTR. In addition, once the Report is published, depending on the Recommendations and the Administrator's decision as to whether to continue the project or not, the project will require reorientation towards compliance with UNDP's SES and repositioning in terms of key partnerships to support future implementation.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activities that were to have been carried out in line with the workplan could not be implemented because they were suspended temporarily following the complaint submitted by the NGO, Survival. The late positioning of the ASL (April 2019) contributed to the delay in execution. 
</w:t>
            </w:r>
          </w:p>
          <w:p>
            <w:pPr/>
            <w:r>
              <w:rPr/>
              <w:t xml:space="preserve">
</w:t>
            </w:r>
          </w:p>
          <w:p>
            <w:pPr/>
            <w:r>
              <w:rPr/>
              <w:t xml:space="preserve">The project is preparing for all the implementation actions by holding a meeting of the steering committee in December 2019 and launching the activities in January 2020. 
</w:t>
            </w:r>
          </w:p>
          <w:p>
            <w:pPr/>
            <w:r>
              <w:rPr/>
              <w:t xml:space="preserve">
</w:t>
            </w:r>
          </w:p>
          <w:p>
            <w:pPr/>
            <w:r>
              <w:rPr/>
              <w:t xml:space="preserve">After the problems that arose during the project’s first year of implementation, a new social and environmental evaluation will be conducted to recalibrate the risks and identify mitigation measures.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Progress is deemed to be moderately satisfactory because the project did not achieve the desired results for the reporting period. The delay in receiving the project’s ASL in March for 2018 and April for 2019 is one reason why the activities could not be implemented in the field following the timeline. In addition, this year’s project activities have been suspended since March 2019 for reasons related to publication of the SECU investigation report.
</w:t>
            </w:r>
          </w:p>
          <w:p>
            <w:pPr/>
            <w:r>
              <w:rPr/>
              <w:t xml:space="preserve">    
</w:t>
            </w:r>
          </w:p>
          <w:p>
            <w:pPr/>
            <w:r>
              <w:rPr/>
              <w:t xml:space="preserve">Project implementation involves the technical partners; the field activities are executed in conjunction with them. The agreement among UNDP, the Fondation Odzala-Kokoua (FOK) and WWF was not signed until April 2018 and implementation of activities in the field began in July 2018. With the resources that UNDP provided, FOK and WWF worked only half of the year (July-December 2018). The scheduled activities were thus executed only partially. Since the beginning of 2019, the project has not been able to carry out any activities that would move it forward towards achieving the expected results. However, the project team and the national stakeholder are ready to relaunch the activities as soon as the suspension is lifted.     
</w:t>
            </w:r>
          </w:p>
          <w:p>
            <w:pPr/>
            <w:r>
              <w:rPr/>
              <w:t xml:space="preserve">
</w:t>
            </w:r>
          </w:p>
          <w:p>
            <w:pPr/>
            <w:r>
              <w:rPr/>
              <w:t xml:space="preserve">The risks address primarily the delay in executing the activities in 2019. It is possible that the project will not be able to meet the targets identified for years 2 and 3. The next steps should include conducting a social and environmental evaluation in the project’s intervention area. Measurement tools should be developed to help prevent social risks and conflicts in the project’s sensitive areas (areas addressed in the complaints).  
</w:t>
            </w:r>
          </w:p>
          <w:p>
            <w:pPr/>
            <w:r>
              <w:rPr/>
              <w:t xml:space="preserve">
</w:t>
            </w:r>
          </w:p>
          <w:p>
            <w:pPr/>
            <w:r>
              <w:rPr/>
              <w:t xml:space="preserve">An action plan addressing aspects that are not on track is being developed. Regular monitoring is conducted to accelerate the actions necessary to improve project execution.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GEF operational focal point monitored the project activities from end-to-end during the reporting period and collaborated closely with the project team. An extraordinary meeting of the steering committee was held to provide uniform information to the committee’s members regarding the temporary suspension of project activities pending issuance of the SECU mission report. Because activities were suspended, the expected results could not be achieved. The GEF operational focal point would like the activities to start as soon as possible to avoid delays in terms of the timeline presented in the ProDoc.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could not carry out its activities as agreed in the ProDoc and with the steering committee because activities were suspended in response to a complaint and the subsequent SECU mission. It would be preferable to resolve the problem quickly so that the activities that have not been carried out in the area addressed in the complaint are implemented in order to achieve the expected results.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On 4, 5 and 8 March 2019, the online news outlet BuzzFeed published a three-part investigative report on allegations of serious human rights abuses committed by park rangers funded by World Wide Fund for Nature (WWF) in five countries—Nepal, India, Cameroon, Central African Republic (CAR), Democratic Republic of Congo (DRC) and Republic of Congo (Brazzaville). The Kathmandu Post published its own investigation on 3 March 2019. The Guardian piece was published on 7 March 2019. On 8 March 2019, it was announced that Britain’s charity watchdog would launch an investigation into WWF UK, citing concerns that WWF had provided salaries, training and weapons to paramilitary forces implicated in atrocities against indigenous communities. This was picked up in the mainstream media (Guardian; Reuters) and other platforms in early April 2019. On 17 May 2019, a new article featured on a German news web site titled ‘Nature projects marred by human rights violations’ with a focus on WWF. On 11 July 2019, a new Buzzfeed article titled ‘WWF-backed Guards Raped Pregnant Women and Tortured Villagers at a Wildlife Park Funded by the US Government’ in DRC was released.
</w:t>
            </w:r>
          </w:p>
          <w:p>
            <w:pPr/>
            <w:r>
              <w:rPr/>
              <w:t xml:space="preserve">
</w:t>
            </w:r>
          </w:p>
          <w:p>
            <w:pPr/>
            <w:r>
              <w:rPr/>
              <w:t xml:space="preserve">While none of the Buzzfeed articles mention UNDP or GEF, nor reference UNDP-supported projects, UNDP has programmed GEF biodiversity funds in these countries and has some active projects in collaboration with WWF. Two of these GEF-financed projects – in Republic of Congo and Cameroon – are currently being investigated by UNDP’s Social and Environmental Compliance Unit and the investigation reports are expected very soon. Once made public, these reports could be picked up by the press in connection with the WWF issues mentioned above, which could pose serious reputational risks to UNDP. Specifically, the third BuzzFeed article of March 8, 2019, highlighted WWF-led activities in the Messok Dja Park in the Republic of Congo, which are suspected of repressing indigenous peoples by Park rangers.
</w:t>
            </w:r>
          </w:p>
          <w:p>
            <w:pPr/>
            <w:r>
              <w:rPr/>
              <w:t xml:space="preserve">
</w:t>
            </w:r>
          </w:p>
          <w:p>
            <w:pPr/>
            <w:r>
              <w:rPr/>
              <w:t xml:space="preserve">This UNDP-supported GEF-financed “Integrated and Transboundary Conservation of Biodiversity in the Basins of the Republic of Congo” project  started implementation in October 2017; this is the first PIR. It is the phase II project of the GEF financed UNDP TRIDOM regional Project (GEF ID 1095), which was implemented between 2008 and 2015. WWF also served as an execution partner and received $720,000 to support activities carried out in Gabon, Cameroon, and Republic of Congo from July 2011 to March 2014. This latest project aims to protect the unique biodiversity of Republic of Congo and the Tri-national Dja-Odzala-Minkebe transboundary area, and supports creation of a new protected area in Messok Dja in an indigenous Baka community area. This area is the focus of the third BuzzFeed article. The project also targets 3 other PAs for site level action: Odzala-Kokoua National Park, 1,354,600 ha; Lossi Gorilla Sanctuary, 35,000 ha; and proposed Messok Dja National Park, 144,000 ha. WWF is also a co-financier and an implementer on the ground in this project. An MOU between the UNDP CO and WWF was signed in October 2017, followed by an LOA in April 2018. Per that LOA, project funds have been transferred from UNDP to WWF for certain project activities including community consultations, provision of anti-poaching equipment, and support for ecoguard patrols. The MOU was signed in 2017 for US$32,400 USD and the LOA in 2018 for $180,000.
</w:t>
            </w:r>
          </w:p>
          <w:p>
            <w:pPr/>
            <w:r>
              <w:rPr/>
              <w:t xml:space="preserve">
</w:t>
            </w:r>
          </w:p>
          <w:p>
            <w:pPr/>
            <w:r>
              <w:rPr/>
              <w:t xml:space="preserve">SECU Investigation: A complaint against the project was filed by Survival International in August 2018, along with the complaint against the Cameroon project (see SECU Case Registry) and other closed projects including a World Bank project. The complainants claim that there was no proper consultation process including FPIC and the project would unlawfully evict Baka communities, and expressed human rights concerns. The SECU investigation mission was conducted in February at the same time as the mission to Cameroon for the above case.
</w:t>
            </w:r>
          </w:p>
          <w:p>
            <w:pPr/>
            <w:r>
              <w:rPr/>
              <w:t xml:space="preserve">
</w:t>
            </w:r>
          </w:p>
          <w:p>
            <w:pPr/>
            <w:r>
              <w:rPr/>
              <w:t xml:space="preserve">[In parallel, the UNDP CO directly received a second similar complaint (related to FPIC) on 26 February 2019 (detailed in Annex 2.a.), pertaining to a field mission in December 2018 undertaken by the Fondation Odzala-Kokoua (FOK) under the auspices of an Agreement with UNDP to support biodiversity conservation and sustainable development in the Odzala-Kokoua National Park (PNOK) and the Park’s periphery. FOK went ahead with this mission before receipt of the letter informing them about temporary suspension of project activities. This mission took place after the SI complaint was determined eligible. The letter of complaint was duly sent to SECU as well. The UNDP CO has informed SECU about the new complaint. Discussions on how to respond to this complaint are ongoing and will be informed by any response from SECU.]
</w:t>
            </w:r>
          </w:p>
          <w:p>
            <w:pPr/>
            <w:r>
              <w:rPr/>
              <w:t xml:space="preserve">
</w:t>
            </w:r>
          </w:p>
          <w:p>
            <w:pPr/>
            <w:r>
              <w:rPr/>
              <w:t xml:space="preserve">In light of the serious allegations detailed above and concerns related to the partnership with WWF following the Buzzfeed exposés, and following a post-mission briefing by SECU with the RR, the UNDP GEF team held a call with the CO and project team to discuss next steps. 
</w:t>
            </w:r>
          </w:p>
          <w:p>
            <w:pPr/>
            <w:r>
              <w:rPr/>
              <w:t xml:space="preserve">
</w:t>
            </w:r>
          </w:p>
          <w:p>
            <w:pPr/>
            <w:r>
              <w:rPr/>
              <w:t xml:space="preserve">Based on this call, the Executive Coordinator sent a letter to the RR dated 11 March 2019 (see Annex 2.b.) stating that all field-level consultation and related project activities in the field should be temporarily suspended until the SECU investigation report has been finalised and the UNDP Administrator issues his decision on the case; and the LOA with WWF and all activities that WWF may be taking in relation to this project have also been suspended temporarily (under Article 21). 
</w:t>
            </w:r>
          </w:p>
          <w:p>
            <w:pPr/>
            <w:r>
              <w:rPr/>
              <w:t xml:space="preserve">
</w:t>
            </w:r>
          </w:p>
          <w:p>
            <w:pPr/>
            <w:r>
              <w:rPr/>
              <w:t xml:space="preserve">The RR took immediate action to issue letters to the Implementing Partner, GEF Operational Focal Point, Project Steering Committee and WWF to inform them of these measures. The project is now formally on hold until further notice.
</w:t>
            </w:r>
          </w:p>
          <w:p>
            <w:pPr/>
            <w:r>
              <w:rPr/>
              <w:t xml:space="preserve">
</w:t>
            </w:r>
          </w:p>
          <w:p>
            <w:pPr/>
            <w:r>
              <w:rPr/>
              <w:t xml:space="preserve">In summary, UNDP-GEF action taken so far:
</w:t>
            </w:r>
          </w:p>
          <w:p>
            <w:pPr/>
            <w:r>
              <w:rPr/>
              <w:t xml:space="preserve">
</w:t>
            </w:r>
          </w:p>
          <w:p>
            <w:pPr/>
            <w:r>
              <w:rPr/>
              <w:t xml:space="preserve">•	Full temporary suspension of project work in Republic of Congo with immediate effect until the SECU reports are finalized and the Administrator’s decisions are made. This has already been communicated to RRs and CO teams via official letter dated 11 March 2019 from HQ under Pradeep’s signature. Relevant correspondence can be found in Annex 2.a.
</w:t>
            </w:r>
          </w:p>
          <w:p>
            <w:pPr/>
            <w:r>
              <w:rPr/>
              <w:t xml:space="preserve">•	Temporary suspension of the LOA with WWF and all activities that WWF may be undertaking in relation to the project in Republic of Congo. See Annex 2.a. for details of Congo CO correspondence with WWF. The WWF LOA and MOU are available as separate files.
</w:t>
            </w:r>
          </w:p>
          <w:p>
            <w:pPr/>
            <w:r>
              <w:rPr/>
              <w:t xml:space="preserve">•	On 20 June 2019, UNDP Republic of Congo requested to undertake a select number of project activities foreseen under the project’s 2019 Annual Work Plan. These included high-level activities under the following Outputs: 1.2.2. Elaboration of documents for the establishment of functional areas of Protected Areas (conservation and protection series and corridors); 1.2.4. Implementation of the roadmap leading to the revitalization of the MAB National Committee; 1.4.4. Development of the code of good conduct of eco-guards; GWP. Organize TRIDOM II project alignment indicator intelligence activities on GWP platform components; and 3.1.2. Reproduction and popularization of the toolbox. These activities were authorised to proceed on 27 June 2019. The CO also asked permission to pursue the following related activities: 1.2.3. Organization of awareness / validation meetings for zoning approval by communities, Government and other stakeholders in other areas not under investigation; 3.1.2. Development of appropriate training programs; 3.1.2. Implementation of microprojects in developed village areas, taking into account the gender aspect and vulnerable people; 3.1.3. Support to local communities and their organizations for the development of pilot projects in community-based natural resource management, SLM and SFM in the project area accompanied by appropriate business plans (Aliéni, Abela); and 3.1.4. Monitoring the management of the 23 village terroirs and equipment of the monitoring team. None of these activities would be undertaken with WWF or in contentious zones. However, the request to proceed with this second set of activities was declined by Pradeep, on the basis that it would be best to wait until the SECU report is released before additional and higher profile activities are undertaken. He confirmed that we should adopt a conservative approach in this case given that it is very serious and poses a significant reputation risk to UNDP and GEF. Further to the authorisation of the first set of activities, on 5 July 2019, the CO sent a letter to the Ministry of Forest Economy informing that certain activities would be restarted, as agreed with UNDP HQ, while waiting for publication of the SECU report.
</w:t>
            </w:r>
          </w:p>
          <w:p>
            <w:pPr/>
            <w:r>
              <w:rPr/>
              <w:t xml:space="preserve">•	The GEF Small Grants Programme has an active portfolio in the TRIDOM landscape. Five grants were allocated before the SI allegations in the department of Sangha, of which 0.5 units concern a village area located in the conflict zone, while the remaining 4.5 units are outside the conflict zone. Similarly, in the neighboring department of Cuvette West, two grants were awarded. Implementation is under way as normal and beneficiaries are waiting for the second tranches of these grants. The latest SGP Steering Committee took place on 7 June 2019 and awarded new grants: one for the urban center of Ouesso (the main town in the Department of Sangha) and three others in village lands in the Department of the West Cuvette. This amounts to eleven SGP projects in the TRIDOM Landscape. SGP activities, especially those active in the contested area, are being managed according to UNDP’s Social and Environmental Safeguards, at high risk given the context of the work with Indigenous Peoples and Human Rights, among other issues.
</w:t>
            </w:r>
          </w:p>
          <w:p>
            <w:pPr/>
            <w:r>
              <w:rPr/>
              <w:t xml:space="preserve">•	In light of the SECU investigations and SI allegations, the project’s Steering Committee has recommended that membership should include representation of indigenous communities to support more effective and transparent decision-making; and closer monitoring and oversight of project activities. The project team is also planning to: establish a system of registers at central project level of sub-prefectures and/or target villages to record cases of litigation around wildlife and human-wildlife conflicts; develop a partnership with credible NGOs led by indigenous peoples for better representation and engagement in project delivery; work with Govt to engage indigenous peoples in ecoguard patrols; and mediate between Government and conservation NGOs to observe human rights in nature conservation. Lessons learned are being compiled to guide future project implementation and will ensure better communication and interaction with beneficiaries, development of an effective stakeholder consultation and grievance mechanism and transparent governance.
</w:t>
            </w:r>
          </w:p>
          <w:p>
            <w:pPr/>
            <w:r>
              <w:rPr/>
              <w:t xml:space="preserve">
</w:t>
            </w:r>
          </w:p>
          <w:p>
            <w:pPr/>
            <w:r>
              <w:rPr/>
              <w:t xml:space="preserve">Next steps:
</w:t>
            </w:r>
          </w:p>
          <w:p>
            <w:pPr/>
            <w:r>
              <w:rPr/>
              <w:t xml:space="preserve">
</w:t>
            </w:r>
          </w:p>
          <w:p>
            <w:pPr/>
            <w:r>
              <w:rPr/>
              <w:t xml:space="preserve">•	Once the SECU reports are released for fact-check, the UNDP-GEF team will provide comments on the draft report and liaise with the GEF.
</w:t>
            </w:r>
          </w:p>
          <w:p>
            <w:pPr/>
            <w:r>
              <w:rPr/>
              <w:t xml:space="preserve">•	Regional Bureau will liaise with BERA on actions to take with the media once the SECU report is made publicly available. UNDP-GEF Unit can support.
</w:t>
            </w:r>
          </w:p>
          <w:p>
            <w:pPr/>
            <w:r>
              <w:rPr/>
              <w:t xml:space="preserve">•	UNDP-GEF Unit, Regional Bureau and EXO: Will convene to discuss the SECU report recommendations and next steps.
</w:t>
            </w:r>
          </w:p>
          <w:p>
            <w:pPr/>
            <w:r>
              <w:rPr/>
              <w:t xml:space="preserve">
</w:t>
            </w:r>
          </w:p>
          <w:p>
            <w:pPr/>
            <w:r>
              <w:rPr/>
              <w:t xml:space="preserve">The SECU investigation has necessarily slowed implementation of the project during the reporting period at every level. Implementation of all Components is delayed and efforts to achieve key project milestones on time are off track. Delivery has slowed significantly since suspension of field activities. Once the outcome of the SECU investigation and the consequent recommendations are known, it is likely that the project will require major adaptive management to reorient towards compliance with UNDP’s SES and to reposition key partnerships to support further implementation of the project (if it is to continue). 
</w:t>
            </w:r>
          </w:p>
          <w:p>
            <w:pPr/>
            <w:r>
              <w:rPr/>
              <w:t xml:space="preserve">
</w:t>
            </w:r>
          </w:p>
          <w:p>
            <w:pPr/>
            <w:r>
              <w:rPr/>
              <w:t xml:space="preserve">For this reason, an overall rating of Moderately Unsatisfactory is justified at this stage.</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not achieved results to date that would address this question. However, gender-specific needs were included in the process of identifying the beneficiaries.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process used to select beneficiaries to develop IGAs in the project’s intervention area prioritised the inclusion of and consultation with women. Women chose to conduct agricultural activities and small-scale trade in agricultural products, while men chose to fish (in certain areas), keep bees or conduct continuous monitoring of clearings and salt licks.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project identified a conflict between local indigenous populations and park rangers. Poor communication between the two groups could lead to troubled relationships which could, in turn, delay implementation of anti-poaching activities.  
</w:t>
            </w:r>
          </w:p>
          <w:p>
            <w:pPr/>
            <w:r>
              <w:rPr/>
              <w:t xml:space="preserve">
</w:t>
            </w:r>
          </w:p>
          <w:p>
            <w:pPr/>
            <w:r>
              <w:rPr/>
              <w:t xml:space="preserve">To mitigate this risk, the project, in partnership with the Ministry for Forest Economy, is developing a good conduct code to set out the rangers’ responsibilities towards local populations.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Yes. The project will be repositioned to High Risk in accordance with UNDP's SES Policy following complaints relating to alleged human rights abuses of local indigenous populations in the project areas.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An ESIA and ESMP will be put in place following publication of the SECU Investigation Report (in line with the project's revised High Risk rating), which will provide clear recommendations and directives related to the future management of this project. A strong focus on effective engagement of local indigenous populations is recommended if and when the project restarts.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With support from the NGO, Survival International, a complaint was filed by the indigenous populations living in the area covered by the project and where WWF was conducting project activities. The complaint focused on the allegations of abuse by park rangers towards local indigenous populations. A SECU investigation has been undertaken to verify these allegations. The investigation’s report has not yet been published. Pending its publication, all of the activities planned for this area have been suspended.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NA</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5612 Congo Republic CEO Endorsement Request 240517 for resubmission.doc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WWF is a co-financier and an implementer on the ground in this project. An MOU between the UNDP CO and WWF was signed in October 2017, followed by an LOA in April 2018. Per that LOA, project funds have been transferred from UNDP to WWF for certain project activities including community consultations, provision of anti-poaching equipment, and support for ecoguard patrols. The partnership is now suspended while the SECU investigation takes place.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2C1A0C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612/215377/1708511/1709990/SESP.docx" TargetMode="External"/><Relationship Id="rId11" Type="http://schemas.openxmlformats.org/officeDocument/2006/relationships/hyperlink" Target="https://undpgefpims.org/attachments/5612/215377/1695109/1695390/PIMS%205612%20Congo%20Republic%20CEO%20Endorsement%20Request%20240517%20for%20resubmission.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2019-09-12T00:59:14+00:00</dcterms:created>
  <dcterms:modified xsi:type="dcterms:W3CDTF">2019-09-12T00:59:14+00:00</dcterms:modified>
</cp:coreProperties>
</file>

<file path=docProps/custom.xml><?xml version="1.0" encoding="utf-8"?>
<Properties xmlns="http://schemas.openxmlformats.org/officeDocument/2006/custom-properties" xmlns:vt="http://schemas.openxmlformats.org/officeDocument/2006/docPropsVTypes"/>
</file>