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Biomass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4250</w:t>
            </w:r>
          </w:p>
        </w:tc>
      </w:tr>
      <w:tr>
        <w:trPr/>
        <w:tc>
          <w:tcPr>
            <w:tcW w:w="5000" w:type="dxa"/>
            <w:gridSpan w:val="1"/>
          </w:tcPr>
          <w:p>
            <w:pPr/>
            <w:r>
              <w:rPr/>
              <w:t xml:space="preserve">GEF ID</w:t>
            </w:r>
          </w:p>
        </w:tc>
        <w:tc>
          <w:tcPr>
            <w:tcW w:w="5000" w:type="dxa"/>
            <w:gridSpan w:val="1"/>
          </w:tcPr>
          <w:p>
            <w:pPr/>
            <w:r>
              <w:rPr/>
              <w:t xml:space="preserve">4344</w:t>
            </w:r>
          </w:p>
        </w:tc>
      </w:tr>
      <w:tr>
        <w:trPr/>
        <w:tc>
          <w:tcPr>
            <w:tcW w:w="5000" w:type="dxa"/>
            <w:gridSpan w:val="1"/>
          </w:tcPr>
          <w:p>
            <w:pPr/>
            <w:r>
              <w:rPr/>
              <w:t xml:space="preserve">Title</w:t>
            </w:r>
          </w:p>
        </w:tc>
        <w:tc>
          <w:tcPr>
            <w:tcW w:w="5000" w:type="dxa"/>
            <w:gridSpan w:val="1"/>
          </w:tcPr>
          <w:p>
            <w:pPr/>
            <w:r>
              <w:rPr/>
              <w:t xml:space="preserve">Promoting Sustainable Bio-energy Production from Biomass</w:t>
            </w:r>
          </w:p>
        </w:tc>
      </w:tr>
      <w:tr>
        <w:trPr/>
        <w:tc>
          <w:tcPr>
            <w:tcW w:w="5000" w:type="dxa"/>
            <w:gridSpan w:val="1"/>
          </w:tcPr>
          <w:p>
            <w:pPr/>
            <w:r>
              <w:rPr/>
              <w:t xml:space="preserve">Country(ies)</w:t>
            </w:r>
          </w:p>
        </w:tc>
        <w:tc>
          <w:tcPr>
            <w:tcW w:w="5000" w:type="dxa"/>
            <w:gridSpan w:val="1"/>
          </w:tcPr>
          <w:p>
            <w:pPr/>
            <w:r>
              <w:rPr/>
              <w:t xml:space="preserve">Timor Leste, Timor Leste</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TLS10 (Timor Leste)</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Promoting Sustainable Bio-energy Production from Biomass (SBEPB) Project is a four-year programme contributing to the reduction of greenhouse emissions through removal of barriers to sustainable production and utilization of biomass resources in Timor-Leste and application of biomass energy technologies to support local economic, environmental and social development. 
</w:t>
            </w:r>
          </w:p>
          <w:p>
            <w:pPr/>
            <w:r>
              <w:rPr/>
              <w:t xml:space="preserve">The objective of the Project will be achieved through enhancing the capacity of all relevant public and private stakeholders, developing policy and legal bioenergy frameworks for end-use appliances and scaling up of 16,000 improved cook stoves (ICS) and 400 bio-digester units in the country. The project will assist the Government of Timor-Leste in mainstreaming sustainable biomass energy in policy formulation and consequently help in mitigating the national emission of greenhouse gases resulting from deforestation and the use of non-renewable biomass. The Project will help to increase Timor-Leste's access to clean bioenergy and also create employment through inclusive businesses.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Milou Beerepoot (milou.beerepoot@undp.org)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Alamgir Hossain (alamgir.hossain@undp.org)</w:t>
            </w:r>
          </w:p>
        </w:tc>
      </w:tr>
      <w:tr>
        <w:trPr/>
        <w:tc>
          <w:tcPr>
            <w:tcW w:w="5000" w:type="dxa"/>
            <w:gridSpan w:val="1"/>
          </w:tcPr>
          <w:p>
            <w:pPr/>
            <w:r>
              <w:rPr/>
              <w:t xml:space="preserve">CO Focal Point</w:t>
            </w:r>
          </w:p>
        </w:tc>
        <w:tc>
          <w:tcPr>
            <w:tcW w:w="5000" w:type="dxa"/>
            <w:gridSpan w:val="1"/>
          </w:tcPr>
          <w:p>
            <w:pPr/>
            <w:r>
              <w:rPr/>
              <w:t xml:space="preserve">Felisberta Moniz da Silva (felisberta.dasilva@undp.org)</w:t>
            </w:r>
          </w:p>
        </w:tc>
      </w:tr>
      <w:tr>
        <w:trPr/>
        <w:tc>
          <w:tcPr>
            <w:tcW w:w="5000" w:type="dxa"/>
            <w:gridSpan w:val="1"/>
          </w:tcPr>
          <w:p>
            <w:pPr/>
            <w:r>
              <w:rPr/>
              <w:t xml:space="preserve">GEF Operational Focal Point</w:t>
            </w:r>
          </w:p>
        </w:tc>
        <w:tc>
          <w:tcPr>
            <w:tcW w:w="5000" w:type="dxa"/>
            <w:gridSpan w:val="1"/>
          </w:tcPr>
          <w:p>
            <w:pPr/>
            <w:r>
              <w:rPr/>
              <w:t xml:space="preserve">Joao Carlos Soares (soaresjoaocarlos@ymail.com)</w:t>
            </w:r>
          </w:p>
        </w:tc>
      </w:tr>
      <w:tr>
        <w:trPr/>
        <w:tc>
          <w:tcPr>
            <w:tcW w:w="5000" w:type="dxa"/>
            <w:gridSpan w:val="1"/>
          </w:tcPr>
          <w:p>
            <w:pPr/>
            <w:r>
              <w:rPr/>
              <w:t xml:space="preserve">Project Implementing Partner</w:t>
            </w:r>
          </w:p>
        </w:tc>
        <w:tc>
          <w:tcPr>
            <w:tcW w:w="5000" w:type="dxa"/>
            <w:gridSpan w:val="1"/>
          </w:tcPr>
          <w:p>
            <w:pPr/>
            <w:r>
              <w:rPr/>
              <w:t xml:space="preserve">Virgilio Guterres (virgiliofguterres@hotmail.com)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Removal of barriers to sustainable production and utilization of biomass resources in Timor-Leste and application of biomass energy technologies to support local economic, environmental and social development that leads to GHG mitigation.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Reduction of non-sustainable fuel wood consumption for energy use in households and industries by EOP, tons.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Up to 192,665</w:t>
            </w:r>
          </w:p>
        </w:tc>
        <w:tc>
          <w:tcPr>
            <w:tcW w:w="4000" w:type="dxa"/>
            <w:gridSpan w:val="1"/>
          </w:tcPr>
          <w:p>
            <w:pPr/>
            <w:r>
              <w:rPr/>
              <w:t xml:space="preserve">50631</w:t>
            </w:r>
          </w:p>
        </w:tc>
        <w:tc>
          <w:tcPr>
            <w:tcW w:w="4000" w:type="dxa"/>
            <w:gridSpan w:val="1"/>
          </w:tcPr>
          <w:p>
            <w:pPr/>
            <w:r>
              <w:rPr/>
              <w:t xml:space="preserve">123,785</w:t>
            </w:r>
          </w:p>
        </w:tc>
      </w:tr>
      <w:tr>
        <w:trPr/>
        <w:tc>
          <w:tcPr>
            <w:tcW w:w="4000" w:type="dxa"/>
            <w:gridSpan w:val="1"/>
          </w:tcPr>
          <w:p>
            <w:pPr/>
            <w:r>
              <w:rPr/>
              <w:t xml:space="preserve">No. of households and industries that adopted, and are benefiting from, the energy-efficient furnaces/stoves &amp; other BET applications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Up to 20,000</w:t>
            </w:r>
          </w:p>
        </w:tc>
        <w:tc>
          <w:tcPr>
            <w:tcW w:w="4000" w:type="dxa"/>
            <w:gridSpan w:val="1"/>
          </w:tcPr>
          <w:p>
            <w:pPr/>
            <w:r>
              <w:rPr/>
              <w:t xml:space="preserve">8358</w:t>
            </w:r>
          </w:p>
        </w:tc>
        <w:tc>
          <w:tcPr>
            <w:tcW w:w="4000" w:type="dxa"/>
            <w:gridSpan w:val="1"/>
          </w:tcPr>
          <w:p>
            <w:pPr/>
            <w:r>
              <w:rPr/>
              <w:t xml:space="preserve">13,628</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Implementation of strengthened enabling policies, legal and institutional framework for deployment of biomass energy technologies as well as the growth of biomass energy businesses in Timor-Leste.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sustainable biomass energy production businesses that were proposed and developed as influenced by the strengthened policy and institutional frameworks for the deployment of BETs and biomass energy businesses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20</w:t>
            </w:r>
          </w:p>
        </w:tc>
        <w:tc>
          <w:tcPr>
            <w:tcW w:w="4000" w:type="dxa"/>
            <w:gridSpan w:val="1"/>
          </w:tcPr>
          <w:p>
            <w:pPr/>
            <w:r>
              <w:rPr/>
              <w:t xml:space="preserve">25</w:t>
            </w:r>
          </w:p>
        </w:tc>
      </w:tr>
      <w:tr>
        <w:trPr/>
        <w:tc>
          <w:tcPr>
            <w:tcW w:w="4000" w:type="dxa"/>
            <w:gridSpan w:val="1"/>
          </w:tcPr>
          <w:p>
            <w:pPr/>
            <w:r>
              <w:rPr/>
              <w:t xml:space="preserve">No. of biomass energy utilization projects that are planned and developed for PURE/SURE purposes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During an oversight mission of the RTA in March ’18, this indicator was discussed as being unclear since the Project Document never explains what PURE/SURE means. This is expected to be part of discussions in the Mid Term Review (Sep ’18)</w:t>
            </w:r>
          </w:p>
        </w:tc>
        <w:tc>
          <w:tcPr>
            <w:tcW w:w="4000" w:type="dxa"/>
            <w:gridSpan w:val="1"/>
          </w:tcPr>
          <w:p>
            <w:pPr/>
            <w:r>
              <w:rPr/>
              <w:t xml:space="preserve">(no longer tracked on the basis of MTR result)</w:t>
            </w:r>
          </w:p>
        </w:tc>
      </w:tr>
      <w:tr>
        <w:trPr/>
        <w:tc>
          <w:tcPr>
            <w:tcW w:w="4000" w:type="dxa"/>
            <w:gridSpan w:val="1"/>
          </w:tcPr>
          <w:p>
            <w:pPr/>
            <w:r>
              <w:rPr/>
              <w:t xml:space="preserve">No. of policies and legal frameworks  that is supportive of BET applications and biomass energy business development approved and enforced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1</w:t>
            </w:r>
          </w:p>
        </w:tc>
        <w:tc>
          <w:tcPr>
            <w:tcW w:w="4000" w:type="dxa"/>
            <w:gridSpan w:val="1"/>
          </w:tcPr>
          <w:p>
            <w:pPr/>
            <w:r>
              <w:rPr/>
              <w:t xml:space="preserve">1</w:t>
            </w:r>
          </w:p>
        </w:tc>
      </w:tr>
      <w:tr>
        <w:trPr/>
        <w:tc>
          <w:tcPr>
            <w:tcW w:w="4000" w:type="dxa"/>
            <w:gridSpan w:val="1"/>
          </w:tcPr>
          <w:p>
            <w:pPr/>
            <w:r>
              <w:rPr/>
              <w:t xml:space="preserve">Volume of funding made available for BET application projects by EOP, US$ million/year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million</w:t>
            </w:r>
          </w:p>
        </w:tc>
        <w:tc>
          <w:tcPr>
            <w:tcW w:w="4000" w:type="dxa"/>
            <w:gridSpan w:val="1"/>
          </w:tcPr>
          <w:p>
            <w:pPr/>
            <w:r>
              <w:rPr/>
              <w:t xml:space="preserve">During an oversight mission of the RTA in March ’18, this indicator was discussed in light of the GoTL’s interest in RE in general, rather than focus on BET only. It was suggested to include this in discussions of the Mid Term Review (Sep ’18)</w:t>
            </w:r>
          </w:p>
        </w:tc>
        <w:tc>
          <w:tcPr>
            <w:tcW w:w="4000" w:type="dxa"/>
            <w:gridSpan w:val="1"/>
          </w:tcPr>
          <w:p>
            <w:pPr/>
            <w:r>
              <w:rPr/>
              <w:t xml:space="preserve">(no longer tracked on the basis of MTR result)</w:t>
            </w:r>
          </w:p>
        </w:tc>
      </w:tr>
      <w:tr>
        <w:trPr/>
        <w:tc>
          <w:tcPr>
            <w:tcW w:w="4000" w:type="dxa"/>
            <w:gridSpan w:val="1"/>
          </w:tcPr>
          <w:p>
            <w:pPr/>
            <w:r>
              <w:rPr/>
              <w:t xml:space="preserve">No. of relevant GOT agencies and institutions involved in biomass energy production and use of BETs and are linked with each other via a working mechanism for coordination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5</w:t>
            </w:r>
          </w:p>
        </w:tc>
        <w:tc>
          <w:tcPr>
            <w:tcW w:w="4000" w:type="dxa"/>
            <w:gridSpan w:val="1"/>
          </w:tcPr>
          <w:p>
            <w:pPr/>
            <w:r>
              <w:rPr/>
              <w:t xml:space="preserve">5</w:t>
            </w:r>
          </w:p>
        </w:tc>
      </w:tr>
      <w:tr>
        <w:trPr/>
        <w:tc>
          <w:tcPr>
            <w:tcW w:w="4000" w:type="dxa"/>
            <w:gridSpan w:val="1"/>
          </w:tcPr>
          <w:p>
            <w:pPr/>
            <w:r>
              <w:rPr/>
              <w:t xml:space="preserve">No. of satisfied users of the Biomass Energy Resource Information System (BERIS) each year starting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200</w:t>
            </w:r>
          </w:p>
        </w:tc>
        <w:tc>
          <w:tcPr>
            <w:tcW w:w="4000" w:type="dxa"/>
            <w:gridSpan w:val="1"/>
          </w:tcPr>
          <w:p>
            <w:pPr/>
            <w:r>
              <w:rPr/>
              <w:t xml:space="preserve">Will be reported under next PIR</w:t>
            </w:r>
          </w:p>
        </w:tc>
        <w:tc>
          <w:tcPr>
            <w:tcW w:w="4000" w:type="dxa"/>
            <w:gridSpan w:val="1"/>
          </w:tcPr>
          <w:p>
            <w:pPr/>
            <w:r>
              <w:rPr/>
              <w:t xml:space="preserve">Will be reported under next PIR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Availability of financial support for rural bio-energy production and associated low-carbon technology applications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operational financial support schemes (e.g., loan products) for scaling up and replicating successfully implemented BET projects (e.g., ICS) by Year 2, including the LRGS.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During an oversight mission of the RTA in March ’18, this indicator was discussed in light of the ambition to get substantial financial instruments delivered while there seem to have been no consultation with the financial institutions targeted for these financial instruments; no letters of interest were submitted with the Project Document and discussions with Financial Institutions only started at implementation of the project. It was suggested to include this in discussions of the Mid Term Review (Sep ’18)</w:t>
            </w:r>
          </w:p>
        </w:tc>
        <w:tc>
          <w:tcPr>
            <w:tcW w:w="4000" w:type="dxa"/>
            <w:gridSpan w:val="1"/>
          </w:tcPr>
          <w:p>
            <w:pPr/>
            <w:r>
              <w:rPr/>
              <w:t xml:space="preserve">(no longer tracked on the basis of MTR result)</w:t>
            </w:r>
          </w:p>
        </w:tc>
      </w:tr>
      <w:tr>
        <w:trPr/>
        <w:tc>
          <w:tcPr>
            <w:tcW w:w="4000" w:type="dxa"/>
            <w:gridSpan w:val="1"/>
          </w:tcPr>
          <w:p>
            <w:pPr/>
            <w:r>
              <w:rPr/>
              <w:t xml:space="preserve">No. of local financial institutions that apply the new financial support schemes to support BET projects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During an oversight mission of the RTA in March ’18, this indicator was discussed as the size of the project requires simplifying the elaborate amount of indicators: in this case it seems that the number of financial schemes (2) and the number of financial institutions supporting the schemes (2) are duplicating indicators. It was suggested to include this in discussions of the Mid Term Review (Sep ’18)</w:t>
            </w:r>
          </w:p>
        </w:tc>
        <w:tc>
          <w:tcPr>
            <w:tcW w:w="4000" w:type="dxa"/>
            <w:gridSpan w:val="1"/>
          </w:tcPr>
          <w:p>
            <w:pPr/>
            <w:r>
              <w:rPr/>
              <w:t xml:space="preserve">(no longer tracked on the basis of MTR result)</w:t>
            </w:r>
          </w:p>
        </w:tc>
      </w:tr>
      <w:tr>
        <w:trPr/>
        <w:tc>
          <w:tcPr>
            <w:tcW w:w="4000" w:type="dxa"/>
            <w:gridSpan w:val="1"/>
          </w:tcPr>
          <w:p>
            <w:pPr/>
            <w:r>
              <w:rPr/>
              <w:t xml:space="preserve">Volume of funds earmarked by participating FIs for financing BET projects by EOP, US$ million/year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US$3m</w:t>
            </w:r>
          </w:p>
        </w:tc>
        <w:tc>
          <w:tcPr>
            <w:tcW w:w="4000" w:type="dxa"/>
            <w:gridSpan w:val="1"/>
          </w:tcPr>
          <w:p>
            <w:pPr/>
            <w:r>
              <w:rPr/>
              <w:t xml:space="preserve">During an oversight mission of the RTA in March ’18, this indicator was discussed as the size of the financial instruments, e.g. 3 m$ for a guarantee scheme for BET technologies, doesn’t seem to be in line with the scale of the Timor Leste economy, e.g. comparing a guarantee facility that was initiated by the government for all TL private sector operations having a size of 4 m$. It was suggested to include this in discussions of the Mid Term Review (Sep ’18)</w:t>
            </w:r>
          </w:p>
        </w:tc>
        <w:tc>
          <w:tcPr>
            <w:tcW w:w="4000" w:type="dxa"/>
            <w:gridSpan w:val="1"/>
          </w:tcPr>
          <w:p>
            <w:pPr/>
            <w:r>
              <w:rPr/>
              <w:t xml:space="preserve">(no longer tracked on the basis of MTR result)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Increased investments in Bio-energy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Production of improved cook stoves (ICS) by Year 4, units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20000</w:t>
            </w:r>
          </w:p>
        </w:tc>
        <w:tc>
          <w:tcPr>
            <w:tcW w:w="4000" w:type="dxa"/>
            <w:gridSpan w:val="1"/>
          </w:tcPr>
          <w:p>
            <w:pPr/>
            <w:r>
              <w:rPr/>
              <w:t xml:space="preserve">8100</w:t>
            </w:r>
          </w:p>
        </w:tc>
        <w:tc>
          <w:tcPr>
            <w:tcW w:w="4000" w:type="dxa"/>
            <w:gridSpan w:val="1"/>
          </w:tcPr>
          <w:p>
            <w:pPr/>
            <w:r>
              <w:rPr/>
              <w:t xml:space="preserve">13628</w:t>
            </w:r>
          </w:p>
        </w:tc>
      </w:tr>
      <w:tr>
        <w:trPr/>
        <w:tc>
          <w:tcPr>
            <w:tcW w:w="4000" w:type="dxa"/>
            <w:gridSpan w:val="1"/>
          </w:tcPr>
          <w:p>
            <w:pPr/>
            <w:r>
              <w:rPr/>
              <w:t xml:space="preserve">No. of ICS bought and utilized by consumers annually starting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20000</w:t>
            </w:r>
          </w:p>
        </w:tc>
        <w:tc>
          <w:tcPr>
            <w:tcW w:w="4000" w:type="dxa"/>
            <w:gridSpan w:val="1"/>
          </w:tcPr>
          <w:p>
            <w:pPr/>
            <w:r>
              <w:rPr/>
              <w:t xml:space="preserve">8100</w:t>
            </w:r>
          </w:p>
        </w:tc>
        <w:tc>
          <w:tcPr>
            <w:tcW w:w="4000" w:type="dxa"/>
            <w:gridSpan w:val="1"/>
          </w:tcPr>
          <w:p>
            <w:pPr/>
            <w:r>
              <w:rPr/>
              <w:t xml:space="preserve">13628</w:t>
            </w:r>
          </w:p>
        </w:tc>
      </w:tr>
      <w:tr>
        <w:trPr/>
        <w:tc>
          <w:tcPr>
            <w:tcW w:w="4000" w:type="dxa"/>
            <w:gridSpan w:val="1"/>
          </w:tcPr>
          <w:p>
            <w:pPr/>
            <w:r>
              <w:rPr/>
              <w:t xml:space="preserve">No. of furnaces/stoves installed &amp; being used on a daily basis by households in targeted areas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600</w:t>
            </w:r>
          </w:p>
        </w:tc>
        <w:tc>
          <w:tcPr>
            <w:tcW w:w="4000" w:type="dxa"/>
            <w:gridSpan w:val="1"/>
          </w:tcPr>
          <w:p>
            <w:pPr/>
            <w:r>
              <w:rPr/>
              <w:t xml:space="preserve">222</w:t>
            </w:r>
          </w:p>
        </w:tc>
        <w:tc>
          <w:tcPr>
            <w:tcW w:w="4000" w:type="dxa"/>
            <w:gridSpan w:val="1"/>
          </w:tcPr>
          <w:p>
            <w:pPr/>
            <w:r>
              <w:rPr/>
              <w:t xml:space="preserve">407</w:t>
            </w:r>
          </w:p>
        </w:tc>
      </w:tr>
      <w:tr>
        <w:trPr/>
        <w:tc>
          <w:tcPr>
            <w:tcW w:w="4000" w:type="dxa"/>
            <w:gridSpan w:val="1"/>
          </w:tcPr>
          <w:p>
            <w:pPr/>
            <w:r>
              <w:rPr/>
              <w:t xml:space="preserve">No. of industrial stoves installed and are operational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400</w:t>
            </w:r>
          </w:p>
        </w:tc>
        <w:tc>
          <w:tcPr>
            <w:tcW w:w="4000" w:type="dxa"/>
            <w:gridSpan w:val="1"/>
          </w:tcPr>
          <w:p>
            <w:pPr/>
            <w:r>
              <w:rPr/>
              <w:t xml:space="preserve">36
</w:t>
            </w:r>
          </w:p>
          <w:p>
            <w:pPr/>
            <w:r>
              <w:rPr/>
              <w:t xml:space="preserve">As mentioned in the Inception Report, “catering companies” were expected to be a target group for industrial stoves. The project therefore conducted a survey among restaurants to identify the use of fuelwood and potential for improved stoves. The survey resulted in the conclusion that in urban areas, there is little use of fuelwood in industrial applications since fuelwood in urban areas is costly and alternative fuels such as LPG but also (subsidized) electricity is readily available. It was suggested to re-visit this indicator in discussions of the Mid Term Review (Sep ’18)
</w:t>
            </w:r>
          </w:p>
          <w:p>
            <w:pPr/>
            <w:r>
              <w:rPr/>
              <w:t xml:space="preserve"/>
            </w:r>
          </w:p>
        </w:tc>
        <w:tc>
          <w:tcPr>
            <w:tcW w:w="4000" w:type="dxa"/>
            <w:gridSpan w:val="1"/>
          </w:tcPr>
          <w:p>
            <w:pPr/>
            <w:r>
              <w:rPr/>
              <w:t xml:space="preserve">36</w:t>
            </w:r>
          </w:p>
        </w:tc>
      </w:tr>
      <w:tr>
        <w:trPr/>
        <w:tc>
          <w:tcPr>
            <w:tcW w:w="4000" w:type="dxa"/>
            <w:gridSpan w:val="1"/>
          </w:tcPr>
          <w:p>
            <w:pPr/>
            <w:r>
              <w:rPr/>
              <w:t xml:space="preserve">Total volume of investments on biomass energy technology applications by EOP, US$ million/year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i w:val="1"/>
                <w:iCs w:val="1"/>
              </w:rPr>
              <w:t xml:space="preserve">(not set or not applicable)</w:t>
            </w:r>
          </w:p>
        </w:tc>
        <w:tc>
          <w:tcPr>
            <w:tcW w:w="4000" w:type="dxa"/>
            <w:gridSpan w:val="1"/>
          </w:tcPr>
          <w:p>
            <w:pPr/>
            <w:r>
              <w:rPr/>
              <w:t xml:space="preserve">(no longer tracked on the basis of MTR result)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GHG emissions avoided from technology applications and investments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Annual quantities of sustainable fuel wood produced, starting Year 4, tons.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During an oversight mission of the RTA in March ’18, it was suggested to put more emphasis on the sustainable biomass production and the need to address the entire supply chain when promoting Biomass Energy Technologies, it is suggested that the project expands activities on e.g. biomass briquette production with coconut shells or coffeehusk. It was suggested to include this in discussions of the Mid Term Review (Sep ’18)</w:t>
            </w:r>
          </w:p>
        </w:tc>
        <w:tc>
          <w:tcPr>
            <w:tcW w:w="4000" w:type="dxa"/>
            <w:gridSpan w:val="1"/>
          </w:tcPr>
          <w:p>
            <w:pPr/>
            <w:r>
              <w:rPr/>
              <w:t xml:space="preserve">(no longer tracked on the basis of MTR result)</w:t>
            </w:r>
          </w:p>
        </w:tc>
      </w:tr>
      <w:tr>
        <w:trPr/>
        <w:tc>
          <w:tcPr>
            <w:tcW w:w="4000" w:type="dxa"/>
            <w:gridSpan w:val="1"/>
          </w:tcPr>
          <w:p>
            <w:pPr/>
            <w:r>
              <w:rPr/>
              <w:t xml:space="preserve">Annual fuel wood savings from the cost-effective and efficient use of biomass energy in rural communities starting Year 4, tons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109226</w:t>
            </w:r>
          </w:p>
        </w:tc>
        <w:tc>
          <w:tcPr>
            <w:tcW w:w="4000" w:type="dxa"/>
            <w:gridSpan w:val="1"/>
          </w:tcPr>
          <w:p>
            <w:pPr/>
            <w:r>
              <w:rPr/>
              <w:t xml:space="preserve">50631</w:t>
            </w:r>
          </w:p>
        </w:tc>
        <w:tc>
          <w:tcPr>
            <w:tcW w:w="4000" w:type="dxa"/>
            <w:gridSpan w:val="1"/>
          </w:tcPr>
          <w:p>
            <w:pPr/>
            <w:r>
              <w:rPr/>
              <w:t xml:space="preserve">99653</w:t>
            </w:r>
          </w:p>
        </w:tc>
      </w:tr>
      <w:tr>
        <w:trPr/>
        <w:tc>
          <w:tcPr>
            <w:tcW w:w="4000" w:type="dxa"/>
            <w:gridSpan w:val="1"/>
          </w:tcPr>
          <w:p>
            <w:pPr/>
            <w:r>
              <w:rPr/>
              <w:t xml:space="preserve">Annual GHG emission reduction from the cost effective and efficient use of biomass energy in rural communities starting Year 4, tons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117145</w:t>
            </w:r>
          </w:p>
        </w:tc>
        <w:tc>
          <w:tcPr>
            <w:tcW w:w="4000" w:type="dxa"/>
            <w:gridSpan w:val="1"/>
          </w:tcPr>
          <w:p>
            <w:pPr/>
            <w:r>
              <w:rPr/>
              <w:t xml:space="preserve">54331</w:t>
            </w:r>
          </w:p>
        </w:tc>
        <w:tc>
          <w:tcPr>
            <w:tcW w:w="4000" w:type="dxa"/>
            <w:gridSpan w:val="1"/>
          </w:tcPr>
          <w:p>
            <w:pPr/>
            <w:r>
              <w:rPr/>
              <w:t xml:space="preserve">106917</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Enhanced capacities of policy makers, financial institutions, entrepreneurs, project developers, communities and end-users on the development of the local BET market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local manufacturing firms that can fabricate and install equipment/components used in BET systems by Year 4</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20</w:t>
            </w:r>
          </w:p>
        </w:tc>
        <w:tc>
          <w:tcPr>
            <w:tcW w:w="4000" w:type="dxa"/>
            <w:gridSpan w:val="1"/>
          </w:tcPr>
          <w:p>
            <w:pPr/>
            <w:r>
              <w:rPr/>
              <w:t xml:space="preserve">25</w:t>
            </w:r>
          </w:p>
        </w:tc>
      </w:tr>
      <w:tr>
        <w:trPr/>
        <w:tc>
          <w:tcPr>
            <w:tcW w:w="4000" w:type="dxa"/>
            <w:gridSpan w:val="1"/>
          </w:tcPr>
          <w:p>
            <w:pPr/>
            <w:r>
              <w:rPr/>
              <w:t xml:space="preserve">No. of trained and qualified men and women technicians working on BET application projects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25</w:t>
            </w:r>
          </w:p>
        </w:tc>
        <w:tc>
          <w:tcPr>
            <w:tcW w:w="4000" w:type="dxa"/>
            <w:gridSpan w:val="1"/>
          </w:tcPr>
          <w:p>
            <w:pPr/>
            <w:r>
              <w:rPr/>
              <w:t xml:space="preserve">25</w:t>
            </w:r>
          </w:p>
        </w:tc>
      </w:tr>
      <w:tr>
        <w:trPr/>
        <w:tc>
          <w:tcPr>
            <w:tcW w:w="4000" w:type="dxa"/>
            <w:gridSpan w:val="1"/>
          </w:tcPr>
          <w:p>
            <w:pPr/>
            <w:r>
              <w:rPr/>
              <w:t xml:space="preserve">No. of trained men and women technicians who are qualified to repair and maintain BET equipment and installations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25</w:t>
            </w:r>
          </w:p>
        </w:tc>
        <w:tc>
          <w:tcPr>
            <w:tcW w:w="4000" w:type="dxa"/>
            <w:gridSpan w:val="1"/>
          </w:tcPr>
          <w:p>
            <w:pPr/>
            <w:r>
              <w:rPr/>
              <w:t xml:space="preserve">25</w:t>
            </w:r>
          </w:p>
        </w:tc>
      </w:tr>
      <w:tr>
        <w:trPr/>
        <w:tc>
          <w:tcPr>
            <w:tcW w:w="4000" w:type="dxa"/>
            <w:gridSpan w:val="1"/>
          </w:tcPr>
          <w:p>
            <w:pPr/>
            <w:r>
              <w:rPr/>
              <w:t xml:space="preserve">No. of trained and qualified men and women in rural communities gainfully engaged in community forestry and woodlot operations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25</w:t>
            </w:r>
          </w:p>
        </w:tc>
        <w:tc>
          <w:tcPr>
            <w:tcW w:w="4000" w:type="dxa"/>
            <w:gridSpan w:val="1"/>
          </w:tcPr>
          <w:p>
            <w:pPr/>
            <w:r>
              <w:rPr/>
              <w:t xml:space="preserve">25</w:t>
            </w:r>
          </w:p>
        </w:tc>
      </w:tr>
      <w:tr>
        <w:trPr/>
        <w:tc>
          <w:tcPr>
            <w:tcW w:w="4000" w:type="dxa"/>
            <w:gridSpan w:val="1"/>
          </w:tcPr>
          <w:p>
            <w:pPr/>
            <w:r>
              <w:rPr/>
              <w:t xml:space="preserve">No. of local development plans that integrate biomass energy use, BET applications, and biomass industry development prepared by local government men and women planners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Will be reported under next PIR</w:t>
            </w:r>
          </w:p>
        </w:tc>
        <w:tc>
          <w:tcPr>
            <w:tcW w:w="4000" w:type="dxa"/>
            <w:gridSpan w:val="1"/>
          </w:tcPr>
          <w:p>
            <w:pPr/>
            <w:r>
              <w:rPr/>
              <w:t xml:space="preserve">10</w:t>
            </w:r>
          </w:p>
        </w:tc>
      </w:tr>
      <w:tr>
        <w:trPr/>
        <w:tc>
          <w:tcPr>
            <w:tcW w:w="4000" w:type="dxa"/>
            <w:gridSpan w:val="1"/>
          </w:tcPr>
          <w:p>
            <w:pPr/>
            <w:r>
              <w:rPr/>
              <w:t xml:space="preserve">No. of local men and women financial officers that are capable of evaluating biomass energy and other RE project proposals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15</w:t>
            </w:r>
          </w:p>
        </w:tc>
        <w:tc>
          <w:tcPr>
            <w:tcW w:w="4000" w:type="dxa"/>
            <w:gridSpan w:val="1"/>
          </w:tcPr>
          <w:p>
            <w:pPr/>
            <w:r>
              <w:rPr/>
              <w:t xml:space="preserve">Will be reported under next PIR</w:t>
            </w:r>
          </w:p>
        </w:tc>
        <w:tc>
          <w:tcPr>
            <w:tcW w:w="4000" w:type="dxa"/>
            <w:gridSpan w:val="1"/>
          </w:tcPr>
          <w:p>
            <w:pPr/>
            <w:r>
              <w:rPr/>
              <w:t xml:space="preserve">(no longer tracked on the basis of MTR result)</w:t>
            </w:r>
          </w:p>
        </w:tc>
      </w:tr>
      <w:tr>
        <w:trPr/>
        <w:tc>
          <w:tcPr>
            <w:tcW w:w="4000" w:type="dxa"/>
            <w:gridSpan w:val="1"/>
          </w:tcPr>
          <w:p>
            <w:pPr/>
            <w:r>
              <w:rPr/>
              <w:t xml:space="preserve">No. of local entrepreneurs and SMEs that are gainfully involved in businesses that make up the value chain of the BET application industry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20</w:t>
            </w:r>
          </w:p>
        </w:tc>
        <w:tc>
          <w:tcPr>
            <w:tcW w:w="4000" w:type="dxa"/>
            <w:gridSpan w:val="1"/>
          </w:tcPr>
          <w:p>
            <w:pPr/>
            <w:r>
              <w:rPr/>
              <w:t xml:space="preserve">25</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76.85%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76.85%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1,339,483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55,000</w:t>
            </w:r>
          </w:p>
        </w:tc>
      </w:tr>
      <w:tr>
        <w:trPr/>
        <w:tc>
          <w:tcPr>
            <w:tcW w:w="8000" w:type="dxa"/>
            <w:gridSpan w:val="1"/>
          </w:tcPr>
          <w:p>
            <w:pPr/>
            <w:r>
              <w:rPr/>
              <w:t xml:space="preserve">GEF Grant Amount</w:t>
            </w:r>
          </w:p>
        </w:tc>
        <w:tc>
          <w:tcPr>
            <w:tcW w:w="8000" w:type="dxa"/>
            <w:gridSpan w:val="1"/>
          </w:tcPr>
          <w:p>
            <w:pPr/>
            <w:r>
              <w:rPr/>
              <w:t xml:space="preserve">1,743,000</w:t>
            </w:r>
          </w:p>
        </w:tc>
      </w:tr>
      <w:tr>
        <w:trPr/>
        <w:tc>
          <w:tcPr>
            <w:tcW w:w="8000" w:type="dxa"/>
            <w:gridSpan w:val="1"/>
          </w:tcPr>
          <w:p>
            <w:pPr/>
            <w:r>
              <w:rPr/>
              <w:t xml:space="preserve">Co-financing</w:t>
            </w:r>
          </w:p>
        </w:tc>
        <w:tc>
          <w:tcPr>
            <w:tcW w:w="8000" w:type="dxa"/>
            <w:gridSpan w:val="1"/>
          </w:tcPr>
          <w:p>
            <w:pPr/>
            <w:r>
              <w:rPr/>
              <w:t xml:space="preserve">6,850,000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 2012</w:t>
            </w:r>
          </w:p>
        </w:tc>
      </w:tr>
      <w:tr>
        <w:trPr/>
        <w:tc>
          <w:tcPr>
            <w:tcW w:w="8000" w:type="dxa"/>
            <w:gridSpan w:val="1"/>
          </w:tcPr>
          <w:p>
            <w:pPr/>
            <w:r>
              <w:rPr/>
              <w:t xml:space="preserve">CEO Endorsement Date</w:t>
            </w:r>
          </w:p>
        </w:tc>
        <w:tc>
          <w:tcPr>
            <w:tcW w:w="8000" w:type="dxa"/>
            <w:gridSpan w:val="1"/>
          </w:tcPr>
          <w:p>
            <w:pPr/>
            <w:r>
              <w:rPr/>
              <w:t xml:space="preserve">Jun 10, 2014</w:t>
            </w:r>
          </w:p>
        </w:tc>
      </w:tr>
      <w:tr>
        <w:trPr/>
        <w:tc>
          <w:tcPr>
            <w:tcW w:w="8000" w:type="dxa"/>
            <w:gridSpan w:val="1"/>
          </w:tcPr>
          <w:p>
            <w:pPr/>
            <w:r>
              <w:rPr/>
              <w:t xml:space="preserve">Project Document Signature Date (project start date):</w:t>
            </w:r>
          </w:p>
        </w:tc>
        <w:tc>
          <w:tcPr>
            <w:tcW w:w="8000" w:type="dxa"/>
            <w:gridSpan w:val="1"/>
          </w:tcPr>
          <w:p>
            <w:pPr/>
            <w:r>
              <w:rPr/>
              <w:t xml:space="preserve">Sep 26,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Dec 31, 2018</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Feb 28, 2020</w:t>
            </w:r>
          </w:p>
        </w:tc>
      </w:tr>
      <w:tr>
        <w:trPr/>
        <w:tc>
          <w:tcPr>
            <w:tcW w:w="8000" w:type="dxa"/>
            <w:gridSpan w:val="1"/>
          </w:tcPr>
          <w:p>
            <w:pPr/>
            <w:r>
              <w:rPr/>
              <w:t xml:space="preserve">Original Planned Closing Date</w:t>
            </w:r>
          </w:p>
        </w:tc>
        <w:tc>
          <w:tcPr>
            <w:tcW w:w="8000" w:type="dxa"/>
            <w:gridSpan w:val="1"/>
          </w:tcPr>
          <w:p>
            <w:pPr/>
            <w:r>
              <w:rPr/>
              <w:t xml:space="preserve">Sep 26, 2018</w:t>
            </w:r>
          </w:p>
        </w:tc>
      </w:tr>
      <w:tr>
        <w:trPr/>
        <w:tc>
          <w:tcPr>
            <w:tcW w:w="8000" w:type="dxa"/>
            <w:gridSpan w:val="1"/>
          </w:tcPr>
          <w:p>
            <w:pPr/>
            <w:r>
              <w:rPr/>
              <w:t xml:space="preserve">Revised Planned Closing Date</w:t>
            </w:r>
          </w:p>
        </w:tc>
        <w:tc>
          <w:tcPr>
            <w:tcW w:w="8000" w:type="dxa"/>
            <w:gridSpan w:val="1"/>
          </w:tcPr>
          <w:p>
            <w:pPr/>
            <w:r>
              <w:rPr/>
              <w:t xml:space="preserve">Mar 26,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2019-01-28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Following the project board meeting, the PMU got directly engaged with the local SMEs and NGOs for ICS promotion. A voucher-based subsidy mechanism was designed with specific QA mechanisms to prevent potential risks associated with a voucher scheme.   </w:t>
            </w:r>
          </w:p>
        </w:tc>
      </w:tr>
      <w:tr>
        <w:trPr/>
        <w:tc>
          <w:tcPr>
            <w:tcW w:w="4000" w:type="dxa"/>
            <w:gridSpan w:val="1"/>
          </w:tcPr>
          <w:p>
            <w:pPr/>
            <w:r>
              <w:rPr/>
              <w:t xml:space="preserve">Other</w:t>
            </w:r>
          </w:p>
        </w:tc>
        <w:tc>
          <w:tcPr>
            <w:tcW w:w="12000" w:type="dxa"/>
            <w:gridSpan w:val="1"/>
          </w:tcPr>
          <w:p>
            <w:pPr/>
            <w:r>
              <w:rPr/>
              <w:t xml:space="preserve">The designed project deemed too ambitious following the national context. Some assumptions of the project proved to be invalid while relevant assessments and discussions were carried out. For example, the financial institutions capacity and willingness to invest in bio-energy. A mission by the RTA was carried out to also review such issues. A MTR was also carried to address these issues. A revised RF was agreed following the MTR.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key milestone dates as stated in the project document including MTR, TE and project closure in actual did not match with ground reality. The project started its full operation in February 2016 while the project start date in the project document goes back to 2014. This is causing a notable deviation also on project progress associated reporting and shows relatively lower performance of the project in terms of achieving the targets. This almost 2 years long delay to start up actual project implementation has been addressed through the MTR with revisions of some targets for which relevant ground level assessments has been done. An extension request to extend this 4 years duration project was submitted to the RTA for further processing and was accepted by the GEF Executive Coordinator.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faced delays at the start of project implementation and therefore had to request a project extension, which was accepted by the GEF Executive Coordinator.  The MTR was delayed due to the consultant not being able to finish the tasks after he had a mission in Dili.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Given the delay in project milestones as a consequence of late project start as compared to official project start date (as mentioned by project manager above), the MTR of the project was further delayed due to the unfortunate non-responsiveness of the MTR consultant. Whereas the MTR consultant was recruited and conducted an MTR mission to Timor Leste, after the mission the consultant did not follow up on any of the deliverables promised in the contract. While several actions had been undertaken to receive a response from the consultant, including actions by the UNDP CO colleague in Malaysia, after 6 months of unresponsiveness it had to be decided to terminate the MTR consultant contract. After this incident, it was decided – in coordination with the PTA – to conduct an “informal MTR” by the RTA since this is an MSP project and therefore MTR is not mandatory. The revised Log Frame is being proposed to the Project Board and MTR will be uploaded afterwards.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rating for the reporting period (2018-19) is moderately satisfactory. The key challenges associated with the project implementation is associated with  design issues including but not limited to change in country contexts compared to the design stage considerations and assumptions, major changes in the government system with 3 governments in function within project implementation period, inadequate or unviable co-financing, closure of several relevant initiatives and projects which were deemed highly complementary to the project during the design phase, low level of technical capacity in-country on biomass technologies and mindset of relevant SMEs and NGOs on market based instruments for large scale adoption of biomass technologies. 
</w:t>
            </w:r>
          </w:p>
          <w:p>
            <w:pPr/>
            <w:r>
              <w:rPr/>
              <w:t xml:space="preserve">During this reporting period, considerable progresses has been made in terms of promotion of improved cookstoves for household level and for institutions. Highest number of stoves were promoted during this reporting period since beginning of project implementation. Within this reporting period, the project used a different operational modality for the subsidy sheme and got engaged directly with the SMEs and NGOs. Following the project board meetings of 2018 and 2019 and relevant mission of the regional technical specialist, significant attention has been given on alternate fuel generation and technology dissemination. A model biogas plant of 13.6 cubic meter was established at CNEFP – the leading vocational training institute of the country using national capacity. The plant is supporting preparation of meals of 150 regular students of CNEFP and has reduced their fuel wood consumption by half. In terms of capacity building, notable progresses were made by conducting ToT, hands on training of national and municipal level government officials including EDTL, CNEFP, DIT and municipal level administration. An ICS Suco – a model suco where al households and institutions use ICS was launched within this reporting period in Liquica Municipality. 
</w:t>
            </w:r>
          </w:p>
          <w:p>
            <w:pPr/>
            <w:r>
              <w:rPr/>
              <w:t xml:space="preserve">10 village level development plans were jointly developed with the local administration which included biomass energy solutions for local development plan. These plans will serve as a window of accessing government resources for local development and expected to start in 2020 national planning processes. 
</w:t>
            </w:r>
          </w:p>
          <w:p>
            <w:pPr/>
            <w:r>
              <w:rPr/>
              <w:t xml:space="preserve">A new partnership was developed with Jeju Island authority in Lake Maubara area that focused on sustainable hill farming for fuel wood production and bioenergy solutions promotion. A total of 6 hectares of plantation was done in close partnership with Forest Department, Liquica Municipality Administration and Local communities to support fuelwood need of the local population. This partnership is expected to continue in 2019-20 to further strengthen local communities’ engagement in sustainable hill farming and biomass energy use. 
</w:t>
            </w:r>
          </w:p>
          <w:p>
            <w:pPr/>
            <w:r>
              <w:rPr/>
              <w:t xml:space="preserve">During this reporting period, a major behavior change campaign was launched using national television and national community radio centre covering all municipalities of Timor Leste. A road show targeting dissemination of biomass technologies and behavior change campaign was conducted at 10 municipalities and covering 22 major marketplaces of the country.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shown more progress over the reporting period especially in terms of distribution of household cookstoves and establishment of village development plans. The approval of the RE law is still behand expectations due to political challenges. An awareness raising campaign helped to further communicate the benefits of clean cookstoves. It is expected that this campaign will increase the number of people using the biomass energy solutions. The project has also continued to provide technical, capacity building, and market development support to Small and Medium Enterprises (SMEs) to refine their technologies, get the accredited through the national testing centre, and improve their knowledge and capacity. The partnership with the Jeju Self Governing Province of South Korea has enabled technical level exchanges from both countries and expected to create considerable technical and financial resource flows to Timor-Leste. Thus, overall the project performance is moderately satisfactory as it has made progress across most of the indicators.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As the project is nearing the end of its project implementation timeframe, project results are expected to show considerable progress towards end of project targets. Based on the revised LogFrame (after MTR), most indicators show progress but with remaining time being very limited, an impressive effort will still be needed to complete the project with satisfactory results. This makes that the Development Objective is rated as Moderately Satisfactory at this point. 
</w:t>
            </w:r>
          </w:p>
          <w:p>
            <w:pPr/>
            <w:r>
              <w:rPr/>
              <w:t xml:space="preserve">
</w:t>
            </w:r>
          </w:p>
          <w:p>
            <w:pPr/>
            <w:r>
              <w:rPr/>
              <w:t xml:space="preserve">Similarly, the delivery rates show modest results with an overall delivery rate of 77% and 39.2% delivery rate of the annual workplan 2019 after 6 months of implementation. The implementation rate will have to be further enhanced to come to satisfactory delivery levels. This makes that Implementation Progress is rated as Moderately Satisfactory. 
</w:t>
            </w:r>
          </w:p>
          <w:p>
            <w:pPr/>
            <w:r>
              <w:rPr/>
              <w:t xml:space="preserve">
</w:t>
            </w:r>
          </w:p>
          <w:p>
            <w:pPr/>
            <w:r>
              <w:rPr/>
              <w:t xml:space="preserve">DEVELOPMENT PROGRESS
</w:t>
            </w:r>
          </w:p>
          <w:p>
            <w:pPr/>
            <w:r>
              <w:rPr/>
              <w:t xml:space="preserve">
</w:t>
            </w:r>
          </w:p>
          <w:p>
            <w:pPr/>
            <w:r>
              <w:rPr/>
              <w:t xml:space="preserve">The project has picked up speed in implementation over the reporting year even though the project had a difficult start (with a 2-year delay between ProDoc signature and start of implementation) and was faced with a challenging political situation over the period 2017/2018. In particular the implementation of improved cookstoves has substantially progressed, especially enhanced by the choice for an alternative distribution model where the NGO “middleman” was taken out and cookstove businesses themselves became responsible for their sales, often via retailers. This increased the sales of cookstoves and increased the confidence of stove manufacturers in enhancing their business profiles. 
</w:t>
            </w:r>
          </w:p>
          <w:p>
            <w:pPr/>
            <w:r>
              <w:rPr/>
              <w:t xml:space="preserve">
</w:t>
            </w:r>
          </w:p>
          <w:p>
            <w:pPr/>
            <w:r>
              <w:rPr/>
              <w:t xml:space="preserve">Other important achievements are the realization of local development plans in 10 Suco’s that include plans on biomass and clean cook stoves. One Suco managed to transform to 100% clean cook stoves and became a Model Suco for clean cook stove implementation. The project also introduced a model biogas plant that was very successful, and which created interest from the government to follow up with a biogas plant support program. Promotion campaigns on clean cook stoves concentrated on Community Radio channels, which have a very high penetration rate in rural areas (more than tv).
</w:t>
            </w:r>
          </w:p>
          <w:p>
            <w:pPr/>
            <w:r>
              <w:rPr/>
              <w:t xml:space="preserve">
</w:t>
            </w:r>
          </w:p>
          <w:p>
            <w:pPr/>
            <w:r>
              <w:rPr/>
              <w:t xml:space="preserve">Specific challenges in the project progress relate to the pending approval of the RE decree law, which was strongly supported by the project, but which is still waiting for approval by the Council of Ministers. Even though there is a coalition government since elections in May 2018, the newly formed government has proven not to be very stable and is very dependent on coalition partners approval. Also, the BERIS (Biomass Energy Resource Information System) is still only starting to be developed and faced considerable delay in its commissioning of consultants to support this effort. Since the project is nearing its final phase of implementation, it is questionable if the BERIS system will be finalized on time while it is unlikely that it will be possible to monitor user satisfaction of the BERIS system in such short remaining time. 
</w:t>
            </w:r>
          </w:p>
          <w:p>
            <w:pPr/>
            <w:r>
              <w:rPr/>
              <w:t xml:space="preserve">
</w:t>
            </w:r>
          </w:p>
          <w:p>
            <w:pPr/>
            <w:r>
              <w:rPr/>
              <w:t xml:space="preserve">Another challenge is the sustainability of the results of the project since subsidy levels for clean cook stoves are still high at 80% of full cost price, whereas the project intention was to gradually reduce subsidy levels. As there is currently no indication of other sources being able to continue these subsidy levels, this raises concern for sustainability of project results after the project ends. 
</w:t>
            </w:r>
          </w:p>
          <w:p>
            <w:pPr/>
            <w:r>
              <w:rPr/>
              <w:t xml:space="preserve">
</w:t>
            </w:r>
          </w:p>
          <w:p>
            <w:pPr/>
            <w:r>
              <w:rPr/>
              <w:t xml:space="preserve">After the revision of the LogFrame on the basis of the “informal MTR” (which removed indicators under Outcome 2.1 as these were based on the assumption of associated projects which were closed at the time of project start as well as missing consultation with financial institutions), the project seems to be able to show good progress for most indicators although very limited time is remaining to meet the end of project targets. In combination with the crucial activity of BERIS that is still only about to start, it is deemed appropriate to rate the project Implementation Progress as Moderately Satisfactory. 
</w:t>
            </w:r>
          </w:p>
          <w:p>
            <w:pPr/>
            <w:r>
              <w:rPr/>
              <w:t xml:space="preserve">
</w:t>
            </w:r>
          </w:p>
          <w:p>
            <w:pPr/>
            <w:r>
              <w:rPr/>
              <w:t xml:space="preserve">IMPLEMENTATION PROGRESS
</w:t>
            </w:r>
          </w:p>
          <w:p>
            <w:pPr/>
            <w:r>
              <w:rPr/>
              <w:t xml:space="preserve">
</w:t>
            </w:r>
          </w:p>
          <w:p>
            <w:pPr/>
            <w:r>
              <w:rPr/>
              <w:t xml:space="preserve">With an overall delivery rate of 77% after more than 3 years implementation and 39.2% delivery rate of the annual workplan 2019 after 6 months of implementation, the project is showing modest results in terms of delivery. The project manager explained that the delivery rate has improved recently as activities were accelerated in the past few months and indeed by end of August the delivery rate had increased to 55%. If this progress is consistent over the next few months, then it may be possible to reach satisfactory implementation levels. Taken all factors into consideration, it is deemed appropriate to rate the Implementation Progress as Moderately Satisfactory.
</w:t>
            </w:r>
          </w:p>
          <w:p>
            <w:pPr/>
            <w:r>
              <w:rPr/>
              <w:t xml:space="preserve">
</w:t>
            </w:r>
          </w:p>
          <w:p>
            <w:pPr/>
            <w:r>
              <w:rPr/>
              <w:t xml:space="preserve">RECOMMENDATIONS
</w:t>
            </w:r>
          </w:p>
          <w:p>
            <w:pPr/>
            <w:r>
              <w:rPr/>
              <w:t xml:space="preserve">
</w:t>
            </w:r>
          </w:p>
          <w:p>
            <w:pPr/>
            <w:r>
              <w:rPr/>
              <w:t xml:space="preserve">The project is recommended to maximize efforts in the remaining time for implementation of the project (end of March 2020) and introduce one more round of subsidy to producers, this time at e.g. 50% level (instead of 80%). This way, producers can see the response from their customers on higher price levels (as they currently don’t know what the market is willing to pay for stoves) and they can see a clear signal that things will change (as they now seem to count on continued high subsidies from whatever source). Chances for sustainable results of the project could also be enhanced if the project could support setting up an ICS producer industry association and if the project can further emphasize and push at the government the approval of the RE law. The process that leads to conducting the Terminal Evaluation study of the project will need to be initiated soon.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60% of the targeted beneficiaries of the project for subsidy based programme were women beneficiaries. The project has target to address household based energy use pattern and addressing indoor air pollution. Promotion of ICS is supporting rural and urban women of Timor-Leste to be able to save time from cooking and fuel wood collection related activities, helping to reduce indoor air pollution and associated health issues. For beneficiary selection, the project focused more on women led households and also gave special consideration for its targeted subsidy mechanism for widows and disables.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 are principally responsible for cooking, collection of fuelwood in Timor-Leste. They are also the main victims of inefficient cooking associated indoor-air pollution and respiratory and other heath issues. The project supported promotion of ICS is helping Timorese women to reduce air pollution, GHG reduction from inefficient cooking and better environmental heath in their households.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4250 SBEPB Timor-Leste ESSP Checklist and Summary 19Nov2013.docx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https://www.unv.org/our-stories/promoting-energy-efficient-and-low-carbon-appliances-improves-community-health-and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https://twitter.com/UNDPTimorLeste/status/1004157015436902400 
</w:t>
            </w:r>
          </w:p>
          <w:p>
            <w:pPr/>
            <w:r>
              <w:rPr/>
              <w:t xml:space="preserve">https://twitter.com/UNDPTimorLeste/status/1004157686127067136  
</w:t>
            </w:r>
          </w:p>
          <w:p>
            <w:pPr/>
            <w:r>
              <w:rPr/>
              <w:t xml:space="preserve">https://www.unv.org/our-stories/promoting-energy-efficient-and-low-carbon-appliances-improves-community-health
</w:t>
            </w:r>
          </w:p>
          <w:p>
            <w:pPr/>
            <w:r>
              <w:rPr/>
              <w:t xml:space="preserve">http://www.tl.undp.org/content/timor_leste/en/home/all-projects/biomass-project/ 
</w:t>
            </w:r>
          </w:p>
          <w:p>
            <w:pPr/>
            <w:r>
              <w:rPr/>
              <w:t xml:space="preserve">http://www.tl.undp.org/content/timor_leste/en/home/newscentre/articles/2018/renewable-energy-biomass-board-meeting.html 
</w:t>
            </w:r>
          </w:p>
          <w:p>
            <w:pPr/>
            <w:r>
              <w:rPr/>
              <w:t xml:space="preserve">http://www.tl.undp.org/content/timor_leste/en/home/newscentre/articles/2018/timor-leste-government-participates-in-sustainable-ecotourism-an.html 
</w:t>
            </w:r>
          </w:p>
          <w:p>
            <w:pPr/>
            <w:r>
              <w:rPr/>
              <w:t xml:space="preserve">http://www.tl.undp.org/content/timor_leste/en/home/newscentre/articles/2017/12/18/undp-facilitates-cooperation-between-jeju-and-timor-leste.html 
</w:t>
            </w:r>
          </w:p>
          <w:p>
            <w:pPr/>
            <w:r>
              <w:rPr/>
              <w:t xml:space="preserve">http://www.tl.undp.org/content/timor_leste/en/home/newscentre/pressreleases/2018/roadshow-promotes-environmentally-friendly-cook-stoves-with-timo.html 
</w:t>
            </w:r>
          </w:p>
          <w:p>
            <w:pPr/>
            <w:r>
              <w:rPr/>
              <w:t xml:space="preserve">http://www.sanrimji.com/site/websolution/page/2518.do?p_2518_m_1_scene=article-detail&amp;issueNo=4400&amp;categoryNo=2604&amp;articleNo=26721 
</w:t>
            </w:r>
          </w:p>
          <w:p>
            <w:pPr/>
            <w:r>
              <w:rPr/>
              <w:t xml:space="preserve">http://m.jejupress.co.kr/news/articleView.html?idxno=85746 
</w:t>
            </w:r>
          </w:p>
          <w:p>
            <w:pPr/>
            <w:r>
              <w:rPr/>
              <w:t xml:space="preserve">
</w:t>
            </w:r>
          </w:p>
          <w:p>
            <w:pPr/>
            <w:r>
              <w:rPr/>
              <w:t xml:space="preserve">https://www.dropbox.com/home/SBEPB%20PIR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4250 TML SBEPB CER Doc 280414.docx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Organisations/NGOs
</w:t>
            </w:r>
          </w:p>
          <w:p>
            <w:pPr/>
            <w:r>
              <w:rPr/>
              <w:t xml:space="preserve">Partnered with INGO Mercy Corps, local NGO Nazareth Foundation, Naroma ba Futuru, Mesak Training Centre for promotion of ICS technologies and market campaigns. 
</w:t>
            </w:r>
          </w:p>
          <w:p>
            <w:pPr/>
            <w:r>
              <w:rPr/>
              <w:t xml:space="preserve">
</w:t>
            </w:r>
          </w:p>
          <w:p>
            <w:pPr/>
            <w:r>
              <w:rPr/>
              <w:t xml:space="preserve">Private Sector
</w:t>
            </w:r>
          </w:p>
          <w:p>
            <w:pPr/>
            <w:r>
              <w:rPr/>
              <w:t xml:space="preserve">Working with around 20 local businesses who are engaged in biomass energy solutions in Timor-Leste. Moreover, the project is partnering with DFAT funded Market Development Facility and leveraging their support for market development skills with these local manufacturers and businesses. 
</w:t>
            </w:r>
          </w:p>
          <w:p>
            <w:pPr/>
            <w:r>
              <w:rPr/>
              <w:t xml:space="preserve">
</w:t>
            </w:r>
          </w:p>
          <w:p>
            <w:pPr/>
            <w:r>
              <w:rPr/>
              <w:t xml:space="preserve">Other Partners
</w:t>
            </w:r>
          </w:p>
          <w:p>
            <w:pPr/>
            <w:r>
              <w:rPr/>
              <w:t xml:space="preserve">Working with two autonomous institutions based in Timor-Leste on bio-briquette manufacturing for use in stoves from bamboo-based furniture making dusts and wastes as well as a technical institution focusing on building vocational skills and capacities in Timor-Leste.
</w:t>
            </w:r>
          </w:p>
          <w:p>
            <w:pPr/>
            <w:r>
              <w:rPr/>
              <w:t xml:space="preserve">This project is also closely working with the lead Timor-Leste University – Dili Institute of Technology for technical capacity building of engineering students and faculties. A renewed ICS testing Centre has been established at DIT with project support which is serving as the prime testing authority of biomass technologies in Timor-Leste.  The project also facilitated a partnership with Jeju Self Governing province of South Korea within this reporting period and closely working with them to promote sustainable forest management and sustainable energy use practices in Timor Leste.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684F5B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250/213191/1654646/1654930/PIMS%204250%20SBEPB%20Timor-Leste%20ESSP%20Checklist%20and%20Summary%2019Nov2013.docx" TargetMode="External"/><Relationship Id="rId11" Type="http://schemas.openxmlformats.org/officeDocument/2006/relationships/hyperlink" Target="https://undpgefpims.org/attachments/4250/213191/1654673/1654954/PIMS%204250%20TML%20SBEPB%20CER%20Doc%202804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2019-09-12T00:09:14+00:00</dcterms:created>
  <dcterms:modified xsi:type="dcterms:W3CDTF">2019-09-12T00:09:14+00:00</dcterms:modified>
</cp:coreProperties>
</file>

<file path=docProps/custom.xml><?xml version="1.0" encoding="utf-8"?>
<Properties xmlns="http://schemas.openxmlformats.org/officeDocument/2006/custom-properties" xmlns:vt="http://schemas.openxmlformats.org/officeDocument/2006/docPropsVTypes"/>
</file>